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rPr>
          <w:rFonts w:asciiTheme="minorEastAsia" w:hAnsiTheme="minorEastAsia" w:eastAsiaTheme="minorEastAsia"/>
          <w:b/>
          <w:sz w:val="72"/>
          <w:szCs w:val="72"/>
        </w:rPr>
      </w:pPr>
    </w:p>
    <w:p>
      <w:pPr>
        <w:widowControl/>
        <w:ind w:firstLine="2871" w:firstLineChars="650"/>
        <w:rPr>
          <w:b/>
          <w:sz w:val="44"/>
          <w:szCs w:val="44"/>
        </w:rPr>
      </w:pPr>
      <w:r>
        <w:rPr>
          <w:rFonts w:hint="eastAsia"/>
          <w:b/>
          <w:sz w:val="44"/>
          <w:szCs w:val="44"/>
        </w:rPr>
        <w:t>霸州</w:t>
      </w:r>
      <w:r>
        <w:rPr>
          <w:b/>
          <w:sz w:val="44"/>
          <w:szCs w:val="44"/>
        </w:rPr>
        <w:t>市</w:t>
      </w:r>
      <w:r>
        <w:rPr>
          <w:rFonts w:hint="eastAsia"/>
          <w:b/>
          <w:sz w:val="44"/>
          <w:szCs w:val="44"/>
          <w:lang w:eastAsia="zh-CN"/>
        </w:rPr>
        <w:t>福利彩票发行管理中心</w:t>
      </w:r>
    </w:p>
    <w:p>
      <w:pPr>
        <w:widowControl/>
        <w:ind w:firstLine="4196" w:firstLineChars="9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rPr>
        <w:t>二〇二〇年九月</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黑体"/>
          <w:sz w:val="32"/>
          <w:szCs w:val="32"/>
        </w:rPr>
      </w:pPr>
      <w:r>
        <w:rPr>
          <w:rFonts w:eastAsia="黑体"/>
          <w:sz w:val="32"/>
          <w:szCs w:val="32"/>
        </w:rPr>
        <w:t>第二部分   201</w:t>
      </w:r>
      <w:r>
        <w:rPr>
          <w:rFonts w:hint="eastAsia" w:eastAsia="黑体"/>
          <w:sz w:val="32"/>
          <w:szCs w:val="32"/>
        </w:rPr>
        <w:t>9</w:t>
      </w:r>
      <w:r>
        <w:rPr>
          <w:rFonts w:eastAsia="黑体"/>
          <w:sz w:val="32"/>
          <w:szCs w:val="32"/>
        </w:rPr>
        <w:t>年部门决算</w:t>
      </w:r>
      <w:r>
        <w:rPr>
          <w:rFonts w:hint="eastAsia" w:eastAsia="黑体"/>
          <w:sz w:val="32"/>
          <w:szCs w:val="32"/>
        </w:rPr>
        <w:t>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w:t>
      </w:r>
      <w:r>
        <w:rPr>
          <w:rFonts w:hint="eastAsia" w:eastAsia="仿宋_GB2312"/>
          <w:sz w:val="32"/>
          <w:szCs w:val="32"/>
        </w:rPr>
        <w:t>总体</w:t>
      </w:r>
      <w:r>
        <w:rPr>
          <w:rFonts w:eastAsia="仿宋_GB2312"/>
          <w:sz w:val="32"/>
          <w:szCs w:val="32"/>
        </w:rPr>
        <w:t>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 xml:space="preserve"> “三公”经费支出决算情况说明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rPr>
        <w:t>名词解释</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rPr>
        <w:t xml:space="preserve">  </w:t>
      </w:r>
      <w:r>
        <w:rPr>
          <w:rFonts w:eastAsia="黑体"/>
          <w:sz w:val="32"/>
          <w:szCs w:val="32"/>
        </w:rPr>
        <w:t>201</w:t>
      </w:r>
      <w:r>
        <w:rPr>
          <w:rFonts w:hint="eastAsia" w:eastAsia="黑体"/>
          <w:sz w:val="32"/>
          <w:szCs w:val="32"/>
        </w:rPr>
        <w:t>9</w:t>
      </w:r>
      <w:r>
        <w:rPr>
          <w:rFonts w:eastAsia="黑体"/>
          <w:sz w:val="32"/>
          <w:szCs w:val="32"/>
        </w:rPr>
        <w:t>年</w:t>
      </w:r>
      <w:r>
        <w:rPr>
          <w:rFonts w:hint="eastAsia" w:eastAsia="黑体"/>
          <w:sz w:val="32"/>
          <w:szCs w:val="32"/>
        </w:rPr>
        <w:t>度</w:t>
      </w:r>
      <w:r>
        <w:rPr>
          <w:rFonts w:eastAsia="黑体"/>
          <w:sz w:val="32"/>
          <w:szCs w:val="32"/>
        </w:rPr>
        <w:t>部门决算</w:t>
      </w:r>
      <w:r>
        <w:rPr>
          <w:rFonts w:hint="eastAsia" w:eastAsia="黑体"/>
          <w:sz w:val="32"/>
          <w:szCs w:val="32"/>
        </w:rPr>
        <w:t>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
    <w:p/>
    <w:p/>
    <w:p/>
    <w:p/>
    <w:p/>
    <w:p/>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rFonts w:hAnsi="宋体" w:asciiTheme="minorEastAsia" w:eastAsiaTheme="minorEastAsia"/>
          <w:color w:val="000000" w:themeColor="text1"/>
          <w:sz w:val="96"/>
          <w:szCs w:val="96"/>
        </w:rPr>
      </w:pPr>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widowControl/>
        <w:jc w:val="center"/>
        <w:rPr>
          <w:color w:val="000000" w:themeColor="text1"/>
          <w:sz w:val="96"/>
          <w:szCs w:val="96"/>
        </w:rPr>
      </w:pP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ind w:firstLine="640" w:firstLineChars="200"/>
        <w:rPr>
          <w:rFonts w:ascii="仿宋_GB2312" w:eastAsia="仿宋_GB2312" w:cs="ArialUnicodeMS" w:hAnsiTheme="minorHAnsi"/>
          <w:kern w:val="0"/>
          <w:sz w:val="32"/>
          <w:szCs w:val="32"/>
        </w:rPr>
      </w:pPr>
      <w:r>
        <w:rPr>
          <w:rFonts w:hint="eastAsia" w:ascii="仿宋_GB2312" w:hAnsi="Times New Roman" w:eastAsia="仿宋_GB2312" w:cs="Times New Roman"/>
          <w:sz w:val="32"/>
          <w:szCs w:val="32"/>
        </w:rPr>
        <w:t>负责对全市福彩投注站的监督和管理；机器维修维护；广告宣传促销；负责对建立站点的考察及销售人员的培训；指导各投注站做好站点形象建设；监督所属投注站做好站点形象建设；监督所属投注站销售彩票工作情况；负责对所属投注站发放宣传品彩票热敏纸等；指导所属投注站处理各种突发事件。</w:t>
      </w:r>
    </w:p>
    <w:p>
      <w:pPr>
        <w:pStyle w:val="2"/>
        <w:spacing w:before="0" w:after="0" w:line="600" w:lineRule="exact"/>
        <w:ind w:firstLine="640" w:firstLineChars="200"/>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 xml:space="preserve">从决算编报单位构成看，纳入2019年度本部门决算汇编范围的独立核算单位（以下简称“单位”）共 </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00"/>
        <w:gridCol w:w="2580"/>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0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580"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1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00"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霸州市福利彩票发行管理中心</w:t>
            </w:r>
          </w:p>
        </w:tc>
        <w:tc>
          <w:tcPr>
            <w:tcW w:w="2580"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经费自理事业单位</w:t>
            </w:r>
          </w:p>
        </w:tc>
        <w:tc>
          <w:tcPr>
            <w:tcW w:w="2615" w:type="dxa"/>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eastAsia="zh-CN"/>
              </w:rPr>
              <w:t>财政性资金领补助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第二部分</w:t>
      </w: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2019年部门决算</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本部门2019年度收支总计（含结转和结余）</w:t>
      </w:r>
      <w:r>
        <w:rPr>
          <w:rFonts w:hint="eastAsia" w:ascii="仿宋_GB2312" w:eastAsia="仿宋_GB2312" w:cs="DengXian-Regular"/>
          <w:sz w:val="32"/>
          <w:szCs w:val="32"/>
          <w:lang w:val="en-US" w:eastAsia="zh-CN"/>
        </w:rPr>
        <w:t>178.84</w:t>
      </w:r>
      <w:r>
        <w:rPr>
          <w:rFonts w:hint="eastAsia" w:ascii="仿宋_GB2312" w:eastAsia="仿宋_GB2312" w:cs="DengXian-Regular"/>
          <w:sz w:val="32"/>
          <w:szCs w:val="32"/>
        </w:rPr>
        <w:t>万元。与2018年度决算相比，收支各增加</w:t>
      </w:r>
      <w:r>
        <w:rPr>
          <w:rFonts w:hint="eastAsia" w:ascii="仿宋_GB2312" w:eastAsia="仿宋_GB2312" w:cs="DengXian-Regular"/>
          <w:sz w:val="32"/>
          <w:szCs w:val="32"/>
          <w:lang w:val="en-US" w:eastAsia="zh-CN"/>
        </w:rPr>
        <w:t>36.41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即开票和视频票销量增加</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本部门2019年度本年收入合计</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tbl>
      <w:tblPr>
        <w:tblStyle w:val="13"/>
        <w:tblW w:w="8874" w:type="dxa"/>
        <w:tblInd w:w="0" w:type="dxa"/>
        <w:tblLayout w:type="fixed"/>
        <w:tblCellMar>
          <w:top w:w="15" w:type="dxa"/>
          <w:left w:w="15" w:type="dxa"/>
          <w:bottom w:w="15" w:type="dxa"/>
          <w:right w:w="15" w:type="dxa"/>
        </w:tblCellMar>
      </w:tblPr>
      <w:tblGrid>
        <w:gridCol w:w="2267"/>
        <w:gridCol w:w="1731"/>
        <w:gridCol w:w="1560"/>
        <w:gridCol w:w="1560"/>
        <w:gridCol w:w="1756"/>
      </w:tblGrid>
      <w:tr>
        <w:tblPrEx>
          <w:tblCellMar>
            <w:top w:w="15" w:type="dxa"/>
            <w:left w:w="15" w:type="dxa"/>
            <w:bottom w:w="15" w:type="dxa"/>
            <w:right w:w="15" w:type="dxa"/>
          </w:tblCellMar>
        </w:tblPrEx>
        <w:trPr>
          <w:trHeight w:val="286" w:hRule="atLeast"/>
        </w:trPr>
        <w:tc>
          <w:tcPr>
            <w:tcW w:w="8874" w:type="dxa"/>
            <w:gridSpan w:val="5"/>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表1：收入决算结构</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w:t>
      </w:r>
      <w:r>
        <w:rPr>
          <w:rFonts w:hint="eastAsia" w:ascii="仿宋_GB2312" w:eastAsia="仿宋_GB2312" w:cs="DengXian-Regular"/>
          <w:sz w:val="32"/>
          <w:szCs w:val="32"/>
          <w:lang w:val="en-US" w:eastAsia="zh-CN"/>
        </w:rPr>
        <w:t>178.84</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35.27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19.7</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143.57</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80.3</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%。如表所示：</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493"/>
        <w:gridCol w:w="2300"/>
        <w:gridCol w:w="2070"/>
        <w:gridCol w:w="2011"/>
      </w:tblGrid>
      <w:tr>
        <w:tblPrEx>
          <w:tblCellMar>
            <w:top w:w="15" w:type="dxa"/>
            <w:left w:w="15" w:type="dxa"/>
            <w:bottom w:w="15" w:type="dxa"/>
            <w:right w:w="15" w:type="dxa"/>
          </w:tblCellMar>
        </w:tblPrEx>
        <w:trPr>
          <w:trHeight w:val="286" w:hRule="atLeast"/>
        </w:trPr>
        <w:tc>
          <w:tcPr>
            <w:tcW w:w="8874" w:type="dxa"/>
            <w:gridSpan w:val="4"/>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表2：支出决算结构</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经营支出</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35.27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143.57</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19.7%</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万元,比2018年度增加</w:t>
      </w:r>
      <w:r>
        <w:rPr>
          <w:rFonts w:hint="eastAsia" w:ascii="仿宋_GB2312" w:eastAsia="仿宋_GB2312" w:cs="DengXian-Regular"/>
          <w:sz w:val="32"/>
          <w:szCs w:val="32"/>
          <w:lang w:val="en-US" w:eastAsia="zh-CN"/>
        </w:rPr>
        <w:t>34.75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24.5</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即开票和视频票销量增加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178.84</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36.41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25.6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用于广告宣传方面的支出增加</w:t>
      </w:r>
      <w:r>
        <w:rPr>
          <w:rFonts w:hint="eastAsia" w:ascii="仿宋_GB2312" w:eastAsia="仿宋_GB2312" w:cs="DengXian-Regular"/>
          <w:sz w:val="32"/>
          <w:szCs w:val="32"/>
        </w:rPr>
        <w:t>。具体情况如下：</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1.一般公共预算财政拨款本年收入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万元，比上年减少</w:t>
      </w:r>
      <w:r>
        <w:rPr>
          <w:rFonts w:hint="eastAsia" w:ascii="仿宋_GB2312" w:eastAsia="仿宋_GB2312" w:cs="DengXian-Regular"/>
          <w:sz w:val="32"/>
          <w:szCs w:val="32"/>
          <w:lang w:val="en-US" w:eastAsia="zh-CN"/>
        </w:rPr>
        <w:t>20.95</w:t>
      </w:r>
      <w:r>
        <w:rPr>
          <w:rFonts w:hint="eastAsia" w:ascii="仿宋_GB2312" w:eastAsia="仿宋_GB2312" w:cs="DengXian-Regular"/>
          <w:sz w:val="32"/>
          <w:szCs w:val="32"/>
        </w:rPr>
        <w:t>万元；主要是</w:t>
      </w:r>
      <w:r>
        <w:rPr>
          <w:rFonts w:hint="eastAsia" w:ascii="仿宋_GB2312" w:eastAsia="仿宋_GB2312" w:cs="DengXian-Regular"/>
          <w:sz w:val="32"/>
          <w:szCs w:val="32"/>
          <w:lang w:val="en-US" w:eastAsia="zh-CN"/>
        </w:rPr>
        <w:t>2019年度无一般公共预算财政拨款</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万元，比上年减少</w:t>
      </w:r>
      <w:r>
        <w:rPr>
          <w:rFonts w:hint="eastAsia" w:ascii="仿宋_GB2312" w:eastAsia="仿宋_GB2312" w:cs="DengXian-Regular"/>
          <w:sz w:val="32"/>
          <w:szCs w:val="32"/>
          <w:lang w:val="en-US" w:eastAsia="zh-CN"/>
        </w:rPr>
        <w:t>17.22</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89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此款项为上年度结转结余</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2.政府性基金预算财政拨款本年收入</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2019年度我单位为政府性基金预算</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176.76</w:t>
      </w:r>
      <w:r>
        <w:rPr>
          <w:rFonts w:hint="eastAsia" w:ascii="仿宋_GB2312" w:eastAsia="仿宋_GB2312" w:cs="DengXian-Regular"/>
          <w:sz w:val="32"/>
          <w:szCs w:val="32"/>
        </w:rPr>
        <w:t>万元，比上年增加</w:t>
      </w:r>
      <w:r>
        <w:rPr>
          <w:rFonts w:hint="eastAsia" w:ascii="仿宋_GB2312" w:eastAsia="仿宋_GB2312" w:cs="DengXian-Regular"/>
          <w:sz w:val="32"/>
          <w:szCs w:val="32"/>
          <w:lang w:val="en-US" w:eastAsia="zh-CN"/>
        </w:rPr>
        <w:t>55.76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46</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用于广告宣传方面的支出增加</w:t>
      </w:r>
      <w:r>
        <w:rPr>
          <w:rFonts w:hint="eastAsia" w:ascii="仿宋_GB2312" w:eastAsia="仿宋_GB2312" w:cs="DengXian-Regular"/>
          <w:sz w:val="32"/>
          <w:szCs w:val="32"/>
        </w:rPr>
        <w:t>。</w:t>
      </w:r>
    </w:p>
    <w:tbl>
      <w:tblPr>
        <w:tblStyle w:val="13"/>
        <w:tblW w:w="8874" w:type="dxa"/>
        <w:tblInd w:w="0" w:type="dxa"/>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CellMar>
            <w:top w:w="15" w:type="dxa"/>
            <w:left w:w="15" w:type="dxa"/>
            <w:bottom w:w="15" w:type="dxa"/>
            <w:right w:w="15" w:type="dxa"/>
          </w:tblCellMar>
        </w:tblPrEx>
        <w:trPr>
          <w:trHeight w:val="375" w:hRule="atLeast"/>
        </w:trPr>
        <w:tc>
          <w:tcPr>
            <w:tcW w:w="8874" w:type="dxa"/>
            <w:gridSpan w:val="7"/>
            <w:shd w:val="clear" w:color="auto" w:fill="auto"/>
            <w:vAlign w:val="center"/>
          </w:tcPr>
          <w:p>
            <w:pPr>
              <w:widowControl/>
              <w:jc w:val="center"/>
              <w:textAlignment w:val="center"/>
              <w:rPr>
                <w:rFonts w:ascii="仿宋_GB2312" w:hAnsi="宋体" w:eastAsia="仿宋_GB2312" w:cs="仿宋_GB2312"/>
                <w:color w:val="000000"/>
                <w:sz w:val="28"/>
                <w:szCs w:val="28"/>
              </w:rPr>
            </w:pPr>
            <w:r>
              <w:rPr>
                <w:rFonts w:ascii="仿宋_GB2312" w:hAnsi="宋体" w:eastAsia="仿宋_GB2312" w:cs="仿宋_GB2312"/>
                <w:color w:val="000000"/>
                <w:kern w:val="0"/>
                <w:sz w:val="28"/>
                <w:szCs w:val="28"/>
              </w:rPr>
              <w:t>表3：201</w:t>
            </w:r>
            <w:r>
              <w:rPr>
                <w:rFonts w:hint="eastAsia" w:ascii="仿宋_GB2312" w:hAnsi="宋体" w:eastAsia="仿宋_GB2312" w:cs="仿宋_GB2312"/>
                <w:color w:val="000000"/>
                <w:kern w:val="0"/>
                <w:sz w:val="28"/>
                <w:szCs w:val="28"/>
              </w:rPr>
              <w:t>8</w:t>
            </w:r>
            <w:r>
              <w:rPr>
                <w:rFonts w:ascii="仿宋_GB2312" w:hAnsi="宋体" w:eastAsia="仿宋_GB2312" w:cs="仿宋_GB2312"/>
                <w:color w:val="000000"/>
                <w:kern w:val="0"/>
                <w:sz w:val="28"/>
                <w:szCs w:val="28"/>
              </w:rPr>
              <w:t>-201</w:t>
            </w:r>
            <w:r>
              <w:rPr>
                <w:rFonts w:hint="eastAsia" w:ascii="仿宋_GB2312" w:hAnsi="宋体" w:eastAsia="仿宋_GB2312" w:cs="仿宋_GB2312"/>
                <w:color w:val="000000"/>
                <w:kern w:val="0"/>
                <w:sz w:val="28"/>
                <w:szCs w:val="28"/>
              </w:rPr>
              <w:t>9</w:t>
            </w:r>
            <w:r>
              <w:rPr>
                <w:rFonts w:ascii="仿宋_GB2312" w:hAnsi="宋体" w:eastAsia="仿宋_GB2312" w:cs="仿宋_GB2312"/>
                <w:color w:val="000000"/>
                <w:kern w:val="0"/>
                <w:sz w:val="28"/>
                <w:szCs w:val="28"/>
              </w:rPr>
              <w:t>年财政拨款收支情况</w:t>
            </w:r>
          </w:p>
        </w:tc>
      </w:tr>
      <w:tr>
        <w:tblPrEx>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141.98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20.95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121.03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140.31</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19.31</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121</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2019年（万元）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176.76</w:t>
            </w:r>
          </w:p>
        </w:tc>
      </w:tr>
      <w:tr>
        <w:tblPrEx>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24.5%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27.46%</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-89.2%</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46%</w:t>
            </w:r>
          </w:p>
        </w:tc>
      </w:tr>
    </w:tbl>
    <w:p>
      <w:pPr>
        <w:spacing w:after="0" w:line="580" w:lineRule="exact"/>
        <w:ind w:firstLine="643" w:firstLineChars="200"/>
        <w:rPr>
          <w:rFonts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本部门2019年度财政拨款本年收入</w:t>
      </w:r>
      <w:r>
        <w:rPr>
          <w:rFonts w:hint="eastAsia" w:ascii="仿宋_GB2312" w:eastAsia="仿宋_GB2312" w:cs="DengXian-Regular"/>
          <w:sz w:val="32"/>
          <w:szCs w:val="32"/>
          <w:lang w:val="en-US" w:eastAsia="zh-CN"/>
        </w:rPr>
        <w:t>176.73</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12.54</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eastAsia="zh-CN"/>
        </w:rPr>
        <w:t>电脑票销量没有达到预期</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178.84</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94.5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10.43</w:t>
      </w:r>
      <w:r>
        <w:rPr>
          <w:rFonts w:hint="eastAsia" w:ascii="仿宋_GB2312" w:eastAsia="仿宋_GB2312" w:cs="DengXian-Regular"/>
          <w:sz w:val="32"/>
          <w:szCs w:val="32"/>
        </w:rPr>
        <w:t>万元，决算数小于预算数主要原因是</w:t>
      </w:r>
      <w:r>
        <w:rPr>
          <w:rFonts w:hint="eastAsia" w:ascii="仿宋_GB2312" w:eastAsia="仿宋_GB2312" w:cs="DengXian-Regular"/>
          <w:sz w:val="32"/>
          <w:szCs w:val="32"/>
          <w:lang w:eastAsia="zh-CN"/>
        </w:rPr>
        <w:t>没有达到收入预期</w:t>
      </w:r>
      <w:r>
        <w:rPr>
          <w:rFonts w:hint="eastAsia" w:ascii="仿宋_GB2312" w:eastAsia="仿宋_GB2312" w:cs="DengXian-Regular"/>
          <w:sz w:val="32"/>
          <w:szCs w:val="32"/>
        </w:rPr>
        <w:t>。具体情况如下：</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1.一般公共预算财政拨款本年收入完成年初预算</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万元；支出完成年初预算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由于</w:t>
      </w:r>
      <w:r>
        <w:rPr>
          <w:rFonts w:hint="eastAsia" w:ascii="仿宋_GB2312" w:eastAsia="仿宋_GB2312" w:cs="DengXian-Regular"/>
          <w:sz w:val="32"/>
          <w:szCs w:val="32"/>
          <w:lang w:val="en-US" w:eastAsia="zh-CN"/>
        </w:rPr>
        <w:t>2018年度结转和结余2.08万元</w:t>
      </w:r>
      <w:r>
        <w:rPr>
          <w:rFonts w:hint="eastAsia" w:ascii="仿宋_GB2312" w:eastAsia="仿宋_GB2312" w:cs="DengXian-Regular"/>
          <w:sz w:val="32"/>
          <w:szCs w:val="32"/>
        </w:rPr>
        <w:t xml:space="preserve">。  </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2.政府性基金预算财政拨款本年收入完成年初预算</w:t>
      </w:r>
      <w:r>
        <w:rPr>
          <w:rFonts w:hint="eastAsia" w:ascii="仿宋_GB2312" w:eastAsia="仿宋_GB2312" w:cs="DengXian-Regular"/>
          <w:sz w:val="32"/>
          <w:szCs w:val="32"/>
          <w:lang w:val="en-US" w:eastAsia="zh-CN"/>
        </w:rPr>
        <w:t>94</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12.54</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电脑票销量没有达到预期增长水平</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94.5</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10.43</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我单位为经费自理单位，所以收入决定支出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tbl>
      <w:tblPr>
        <w:tblStyle w:val="13"/>
        <w:tblW w:w="9045" w:type="dxa"/>
        <w:tblInd w:w="0" w:type="dxa"/>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CellMar>
            <w:top w:w="15" w:type="dxa"/>
            <w:left w:w="15" w:type="dxa"/>
            <w:bottom w:w="15" w:type="dxa"/>
            <w:right w:w="15" w:type="dxa"/>
          </w:tblCellMar>
        </w:tblPrEx>
        <w:trPr>
          <w:trHeight w:val="510" w:hRule="atLeast"/>
        </w:trPr>
        <w:tc>
          <w:tcPr>
            <w:tcW w:w="9045" w:type="dxa"/>
            <w:gridSpan w:val="7"/>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表4：财政拨款收支预决算对比情况</w:t>
            </w:r>
          </w:p>
        </w:tc>
      </w:tr>
      <w:tr>
        <w:tblPrEx>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财政拨款支出</w:t>
            </w:r>
          </w:p>
        </w:tc>
      </w:tr>
      <w:tr>
        <w:tblPrEx>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政府性基金预算财政拨款支出</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189.27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189.27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189.27</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189.27</w:t>
            </w:r>
          </w:p>
        </w:tc>
      </w:tr>
      <w:tr>
        <w:tblPrEx>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178.84</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178.84</w:t>
            </w:r>
          </w:p>
        </w:tc>
      </w:tr>
    </w:tbl>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2019年度财政拨款支出</w:t>
      </w:r>
      <w:r>
        <w:rPr>
          <w:rFonts w:hint="eastAsia" w:ascii="仿宋_GB2312" w:eastAsia="仿宋_GB2312" w:cs="DengXian-Regular"/>
          <w:sz w:val="32"/>
          <w:szCs w:val="32"/>
          <w:lang w:val="en-US" w:eastAsia="zh-CN"/>
        </w:rPr>
        <w:t>178.84</w:t>
      </w:r>
      <w:r>
        <w:rPr>
          <w:rFonts w:hint="eastAsia" w:ascii="仿宋_GB2312" w:eastAsia="仿宋_GB2312" w:cs="DengXian-Regular"/>
          <w:sz w:val="32"/>
          <w:szCs w:val="32"/>
        </w:rPr>
        <w:t xml:space="preserve">万元，主要用于以下方面社会保障和就业（类）支出 </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1.1</w:t>
      </w:r>
      <w:r>
        <w:rPr>
          <w:rFonts w:hint="eastAsia" w:ascii="仿宋_GB2312" w:eastAsia="仿宋_GB2312" w:cs="DengXian-Regular"/>
          <w:sz w:val="32"/>
          <w:szCs w:val="32"/>
        </w:rPr>
        <w:t>%；</w:t>
      </w:r>
      <w:r>
        <w:rPr>
          <w:rFonts w:hint="eastAsia" w:ascii="仿宋_GB2312" w:eastAsia="仿宋_GB2312" w:cs="DengXian-Regular"/>
          <w:sz w:val="32"/>
          <w:szCs w:val="32"/>
          <w:lang w:eastAsia="zh-CN"/>
        </w:rPr>
        <w:t>政府性基金</w:t>
      </w:r>
      <w:r>
        <w:rPr>
          <w:rFonts w:hint="eastAsia" w:ascii="仿宋_GB2312" w:eastAsia="仿宋_GB2312" w:cs="DengXian-Regular"/>
          <w:sz w:val="32"/>
          <w:szCs w:val="32"/>
        </w:rPr>
        <w:t>（类）支出</w:t>
      </w:r>
      <w:r>
        <w:rPr>
          <w:rFonts w:hint="eastAsia" w:ascii="仿宋_GB2312" w:eastAsia="仿宋_GB2312" w:cs="DengXian-Regular"/>
          <w:sz w:val="32"/>
          <w:szCs w:val="32"/>
          <w:lang w:val="en-US" w:eastAsia="zh-CN"/>
        </w:rPr>
        <w:t>176.76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98.9</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tbl>
      <w:tblPr>
        <w:tblStyle w:val="13"/>
        <w:tblW w:w="8874" w:type="dxa"/>
        <w:tblInd w:w="0" w:type="dxa"/>
        <w:tblLayout w:type="fixed"/>
        <w:tblCellMar>
          <w:top w:w="15" w:type="dxa"/>
          <w:left w:w="15" w:type="dxa"/>
          <w:bottom w:w="15" w:type="dxa"/>
          <w:right w:w="15" w:type="dxa"/>
        </w:tblCellMar>
      </w:tblPr>
      <w:tblGrid>
        <w:gridCol w:w="2021"/>
        <w:gridCol w:w="2990"/>
        <w:gridCol w:w="3863"/>
      </w:tblGrid>
      <w:tr>
        <w:tblPrEx>
          <w:tblCellMar>
            <w:top w:w="15" w:type="dxa"/>
            <w:left w:w="15" w:type="dxa"/>
            <w:bottom w:w="15" w:type="dxa"/>
            <w:right w:w="15" w:type="dxa"/>
          </w:tblCellMar>
        </w:tblPrEx>
        <w:trPr>
          <w:trHeight w:val="286" w:hRule="atLeast"/>
        </w:trPr>
        <w:tc>
          <w:tcPr>
            <w:tcW w:w="8874" w:type="dxa"/>
            <w:gridSpan w:val="3"/>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表5：财政拨款支出决算结构（按功能分类）</w:t>
            </w:r>
          </w:p>
        </w:tc>
      </w:tr>
      <w:tr>
        <w:tblPrEx>
          <w:tblCellMar>
            <w:top w:w="15" w:type="dxa"/>
            <w:left w:w="15" w:type="dxa"/>
            <w:bottom w:w="15" w:type="dxa"/>
            <w:right w:w="15" w:type="dxa"/>
          </w:tblCellMar>
        </w:tblPrEx>
        <w:trPr>
          <w:wAfter w:w="0" w:type="auto"/>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eastAsia="zh-CN"/>
              </w:rPr>
              <w:t>社会保障和就业</w:t>
            </w:r>
            <w:r>
              <w:rPr>
                <w:rFonts w:hint="eastAsia" w:ascii="宋体" w:hAnsi="宋体" w:cs="宋体"/>
                <w:color w:val="000000"/>
                <w:kern w:val="0"/>
                <w:sz w:val="20"/>
                <w:szCs w:val="20"/>
              </w:rPr>
              <w:t>支出</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eastAsia="zh-CN"/>
              </w:rPr>
              <w:t>政府性基金</w:t>
            </w:r>
            <w:r>
              <w:rPr>
                <w:rFonts w:hint="eastAsia" w:ascii="宋体" w:hAnsi="宋体" w:cs="宋体"/>
                <w:color w:val="000000"/>
                <w:kern w:val="0"/>
                <w:sz w:val="20"/>
                <w:szCs w:val="20"/>
              </w:rPr>
              <w:t>支出</w:t>
            </w:r>
          </w:p>
        </w:tc>
      </w:tr>
      <w:tr>
        <w:tblPrEx>
          <w:tblCellMar>
            <w:top w:w="15" w:type="dxa"/>
            <w:left w:w="15" w:type="dxa"/>
            <w:bottom w:w="15" w:type="dxa"/>
            <w:right w:w="15" w:type="dxa"/>
          </w:tblCellMar>
        </w:tblPrEx>
        <w:trPr>
          <w:wAfter w:w="0" w:type="auto"/>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金额（万元）</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2.08</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176.76</w:t>
            </w:r>
          </w:p>
        </w:tc>
      </w:tr>
      <w:tr>
        <w:tblPrEx>
          <w:tblCellMar>
            <w:top w:w="15" w:type="dxa"/>
            <w:left w:w="15" w:type="dxa"/>
            <w:bottom w:w="15" w:type="dxa"/>
            <w:right w:w="15" w:type="dxa"/>
          </w:tblCellMar>
        </w:tblPrEx>
        <w:trPr>
          <w:wAfter w:w="0" w:type="auto"/>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占比（%）</w:t>
            </w:r>
          </w:p>
        </w:tc>
        <w:tc>
          <w:tcPr>
            <w:tcW w:w="2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w:t>
            </w:r>
          </w:p>
        </w:tc>
        <w:tc>
          <w:tcPr>
            <w:tcW w:w="38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98.9%</w:t>
            </w:r>
          </w:p>
        </w:tc>
      </w:tr>
    </w:tbl>
    <w:p>
      <w:pPr>
        <w:adjustRightInd w:val="0"/>
        <w:snapToGrid w:val="0"/>
        <w:spacing w:after="0" w:line="580" w:lineRule="exact"/>
        <w:ind w:left="420" w:leftChars="200"/>
        <w:rPr>
          <w:rFonts w:ascii="仿宋_GB2312" w:eastAsia="仿宋_GB2312" w:cs="DengXian-Regular"/>
          <w:sz w:val="32"/>
          <w:szCs w:val="32"/>
          <w:highlight w:val="yellow"/>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2019年度财政拨款基本支出</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2.08</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r>
        <w:rPr>
          <w:rFonts w:hint="eastAsia" w:ascii="仿宋_GB2312" w:eastAsia="仿宋_GB2312" w:cs="DengXian-Regular"/>
          <w:sz w:val="32"/>
          <w:szCs w:val="32"/>
          <w:lang w:eastAsia="zh-CN"/>
        </w:rPr>
        <w:t>。</w:t>
      </w:r>
    </w:p>
    <w:p>
      <w:pPr>
        <w:pStyle w:val="3"/>
        <w:spacing w:before="0" w:after="0" w:line="580" w:lineRule="exact"/>
        <w:ind w:firstLine="640" w:firstLineChars="200"/>
        <w:rPr>
          <w:rFonts w:ascii="黑体" w:eastAsia="黑体"/>
          <w:b w:val="0"/>
          <w:bCs w:val="0"/>
          <w:color w:val="FF0000"/>
        </w:rPr>
      </w:pPr>
      <w:r>
        <w:rPr>
          <w:rFonts w:hint="eastAsia" w:ascii="黑体" w:eastAsia="黑体"/>
          <w:b w:val="0"/>
          <w:bCs w:val="0"/>
        </w:rPr>
        <w:t>五、一般公共预算 “三公”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9</w:t>
      </w:r>
      <w:r>
        <w:rPr>
          <w:rFonts w:eastAsia="仿宋_GB2312"/>
          <w:sz w:val="32"/>
          <w:szCs w:val="32"/>
        </w:rPr>
        <w:t>年度 “三公”经费支出共计</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完成预算的</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，较</w:t>
      </w:r>
      <w:r>
        <w:rPr>
          <w:rFonts w:eastAsia="仿宋_GB2312"/>
          <w:sz w:val="32"/>
          <w:szCs w:val="32"/>
        </w:rPr>
        <w:t>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eastAsia="zh-CN"/>
        </w:rPr>
        <w:t>未发生“三公”经费支出</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8</w:t>
      </w:r>
      <w:r>
        <w:rPr>
          <w:rFonts w:eastAsia="仿宋_GB2312"/>
          <w:sz w:val="32"/>
          <w:szCs w:val="32"/>
        </w:rPr>
        <w:t>年度增加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未发生“三公”经费支出</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9</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较</w:t>
      </w:r>
      <w:r>
        <w:rPr>
          <w:rFonts w:eastAsia="仿宋_GB2312"/>
          <w:sz w:val="32"/>
          <w:szCs w:val="32"/>
        </w:rPr>
        <w:t>预算增加（减少）</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eastAsia="zh-CN"/>
        </w:rPr>
        <w:t>未发生因公出付（境）支出</w:t>
      </w:r>
      <w:r>
        <w:rPr>
          <w:rFonts w:eastAsia="仿宋_GB2312"/>
          <w:sz w:val="32"/>
          <w:szCs w:val="32"/>
        </w:rPr>
        <w:t>；</w:t>
      </w:r>
      <w:r>
        <w:rPr>
          <w:rFonts w:hint="eastAsia" w:eastAsia="仿宋_GB2312"/>
          <w:sz w:val="32"/>
          <w:szCs w:val="32"/>
        </w:rPr>
        <w:t>较上年</w:t>
      </w:r>
      <w:r>
        <w:rPr>
          <w:rFonts w:eastAsia="仿宋_GB2312"/>
          <w:sz w:val="32"/>
          <w:szCs w:val="32"/>
        </w:rPr>
        <w:t>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eastAsia="zh-CN"/>
        </w:rPr>
        <w:t>未发生“三公”经费支出</w:t>
      </w:r>
      <w:r>
        <w:rPr>
          <w:rFonts w:eastAsia="仿宋_GB2312"/>
          <w:sz w:val="32"/>
          <w:szCs w:val="32"/>
        </w:rPr>
        <w:t>。</w:t>
      </w:r>
    </w:p>
    <w:p>
      <w:pPr>
        <w:adjustRightInd w:val="0"/>
        <w:snapToGrid w:val="0"/>
        <w:spacing w:line="584" w:lineRule="exact"/>
        <w:ind w:firstLine="643" w:firstLineChars="200"/>
        <w:rPr>
          <w:rFonts w:eastAsia="仿宋_GB2312"/>
          <w:sz w:val="32"/>
          <w:szCs w:val="32"/>
        </w:rPr>
      </w:pPr>
      <w:r>
        <w:rPr>
          <w:rFonts w:eastAsia="仿宋_GB2312"/>
          <w:b/>
          <w:sz w:val="32"/>
          <w:szCs w:val="32"/>
        </w:rPr>
        <w:t>（二）公务用车购置及运行维护费支出</w:t>
      </w:r>
      <w:r>
        <w:rPr>
          <w:rFonts w:hint="eastAsia" w:eastAsia="仿宋_GB2312"/>
          <w:b/>
          <w:sz w:val="32"/>
          <w:szCs w:val="32"/>
          <w:lang w:val="en-US" w:eastAsia="zh-CN"/>
        </w:rPr>
        <w:t>0</w:t>
      </w:r>
      <w:r>
        <w:rPr>
          <w:rFonts w:eastAsia="仿宋_GB2312"/>
          <w:b/>
          <w:sz w:val="32"/>
          <w:szCs w:val="32"/>
        </w:rPr>
        <w:t>万元。</w:t>
      </w:r>
      <w:r>
        <w:rPr>
          <w:rFonts w:hint="eastAsia" w:eastAsia="仿宋_GB2312"/>
          <w:sz w:val="32"/>
          <w:szCs w:val="32"/>
        </w:rPr>
        <w:t>本部门2019年度公务用车购置及运行维护费较预算</w:t>
      </w:r>
      <w:r>
        <w:rPr>
          <w:rFonts w:eastAsia="仿宋_GB2312"/>
          <w:sz w:val="32"/>
          <w:szCs w:val="32"/>
        </w:rPr>
        <w:t>减少</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w:t>
      </w:r>
      <w:r>
        <w:rPr>
          <w:rFonts w:eastAsia="仿宋_GB2312"/>
          <w:sz w:val="32"/>
          <w:szCs w:val="32"/>
        </w:rPr>
        <w:t>降低</w:t>
      </w:r>
      <w:r>
        <w:rPr>
          <w:rFonts w:hint="eastAsia" w:eastAsia="仿宋_GB2312"/>
          <w:sz w:val="32"/>
          <w:szCs w:val="32"/>
          <w:lang w:val="en-US" w:eastAsia="zh-CN"/>
        </w:rPr>
        <w:t>0</w:t>
      </w:r>
      <w:r>
        <w:rPr>
          <w:rFonts w:hint="eastAsia" w:ascii="仿宋_GB2312" w:eastAsia="仿宋_GB2312" w:cs="DengXian-Regular"/>
          <w:sz w:val="32"/>
          <w:szCs w:val="32"/>
        </w:rPr>
        <w:t>%</w:t>
      </w:r>
      <w:r>
        <w:rPr>
          <w:rFonts w:hint="eastAsia" w:eastAsia="仿宋_GB2312"/>
          <w:sz w:val="32"/>
          <w:szCs w:val="32"/>
        </w:rPr>
        <w:t>,主要是</w:t>
      </w:r>
      <w:r>
        <w:rPr>
          <w:rFonts w:hint="eastAsia" w:eastAsia="仿宋_GB2312"/>
          <w:sz w:val="32"/>
          <w:szCs w:val="32"/>
          <w:lang w:eastAsia="zh-CN"/>
        </w:rPr>
        <w:t>未发生公务用车购置及运行维护费支出</w:t>
      </w:r>
      <w:r>
        <w:rPr>
          <w:rFonts w:hint="eastAsia" w:eastAsia="仿宋_GB2312"/>
          <w:sz w:val="32"/>
          <w:szCs w:val="32"/>
        </w:rPr>
        <w:t>；较上年</w:t>
      </w:r>
      <w:r>
        <w:rPr>
          <w:rFonts w:eastAsia="仿宋_GB2312"/>
          <w:sz w:val="32"/>
          <w:szCs w:val="32"/>
        </w:rPr>
        <w:t>减少</w:t>
      </w:r>
      <w:r>
        <w:rPr>
          <w:rFonts w:hint="eastAsia" w:eastAsia="仿宋_GB2312"/>
          <w:sz w:val="32"/>
          <w:szCs w:val="32"/>
          <w:lang w:val="en-US" w:eastAsia="zh-CN"/>
        </w:rPr>
        <w:t>0</w:t>
      </w:r>
      <w:r>
        <w:rPr>
          <w:rFonts w:eastAsia="仿宋_GB2312"/>
          <w:sz w:val="32"/>
          <w:szCs w:val="32"/>
        </w:rPr>
        <w:t>万元，降低</w:t>
      </w:r>
      <w:r>
        <w:rPr>
          <w:rFonts w:hint="eastAsia" w:eastAsia="仿宋_GB2312"/>
          <w:sz w:val="32"/>
          <w:szCs w:val="32"/>
          <w:lang w:val="en-US" w:eastAsia="zh-CN"/>
        </w:rPr>
        <w:t>0</w:t>
      </w:r>
      <w:r>
        <w:rPr>
          <w:rFonts w:hint="eastAsia" w:ascii="仿宋_GB2312" w:eastAsia="仿宋_GB2312" w:cs="DengXian-Regular"/>
          <w:sz w:val="32"/>
          <w:szCs w:val="32"/>
        </w:rPr>
        <w:t>%</w:t>
      </w:r>
      <w:r>
        <w:rPr>
          <w:rFonts w:eastAsia="仿宋_GB2312"/>
          <w:sz w:val="32"/>
          <w:szCs w:val="32"/>
        </w:rPr>
        <w:t>，主要是</w:t>
      </w:r>
      <w:r>
        <w:rPr>
          <w:rFonts w:hint="eastAsia" w:eastAsia="仿宋_GB2312"/>
          <w:sz w:val="32"/>
          <w:szCs w:val="32"/>
          <w:lang w:eastAsia="zh-CN"/>
        </w:rPr>
        <w:t>未发生公务用车购置及运行维护费支出</w:t>
      </w:r>
      <w:r>
        <w:rPr>
          <w:rFonts w:eastAsia="仿宋_GB2312"/>
          <w:sz w:val="32"/>
          <w:szCs w:val="32"/>
        </w:rPr>
        <w:t>。其中：</w:t>
      </w:r>
    </w:p>
    <w:p>
      <w:pPr>
        <w:adjustRightInd w:val="0"/>
        <w:snapToGrid w:val="0"/>
        <w:spacing w:line="580" w:lineRule="exact"/>
        <w:ind w:firstLine="643" w:firstLineChars="200"/>
        <w:rPr>
          <w:rFonts w:ascii="仿宋_GB2312" w:eastAsia="仿宋_GB2312" w:cs="DengXian-Regular"/>
          <w:sz w:val="32"/>
          <w:szCs w:val="32"/>
        </w:rPr>
      </w:pPr>
      <w:r>
        <w:rPr>
          <w:rFonts w:eastAsia="仿宋_GB2312"/>
          <w:b/>
          <w:sz w:val="32"/>
          <w:szCs w:val="32"/>
        </w:rPr>
        <w:t>公务用车购置费</w:t>
      </w:r>
      <w:r>
        <w:rPr>
          <w:rFonts w:hint="eastAsia" w:eastAsia="仿宋_GB2312"/>
          <w:b/>
          <w:sz w:val="32"/>
          <w:szCs w:val="32"/>
        </w:rPr>
        <w:t>：</w:t>
      </w:r>
      <w:r>
        <w:rPr>
          <w:rFonts w:eastAsia="仿宋_GB2312"/>
          <w:sz w:val="32"/>
          <w:szCs w:val="32"/>
        </w:rPr>
        <w:t>本部门201</w:t>
      </w:r>
      <w:r>
        <w:rPr>
          <w:rFonts w:hint="eastAsia" w:eastAsia="仿宋_GB2312"/>
          <w:sz w:val="32"/>
          <w:szCs w:val="32"/>
        </w:rPr>
        <w:t>9</w:t>
      </w:r>
      <w:r>
        <w:rPr>
          <w:rFonts w:eastAsia="仿宋_GB2312"/>
          <w:sz w:val="32"/>
          <w:szCs w:val="32"/>
        </w:rPr>
        <w:t>年度公务用车购置量</w:t>
      </w:r>
      <w:r>
        <w:rPr>
          <w:rFonts w:hint="eastAsia" w:eastAsia="仿宋_GB2312"/>
          <w:sz w:val="32"/>
          <w:szCs w:val="32"/>
          <w:lang w:val="en-US" w:eastAsia="zh-CN"/>
        </w:rPr>
        <w:t>0</w:t>
      </w:r>
      <w:r>
        <w:rPr>
          <w:rFonts w:eastAsia="仿宋_GB2312"/>
          <w:sz w:val="32"/>
          <w:szCs w:val="32"/>
        </w:rPr>
        <w:t>辆</w:t>
      </w:r>
      <w:r>
        <w:rPr>
          <w:rFonts w:hint="eastAsia" w:eastAsia="仿宋_GB2312"/>
          <w:sz w:val="32"/>
          <w:szCs w:val="32"/>
        </w:rPr>
        <w:t>，发生“</w:t>
      </w:r>
      <w:r>
        <w:rPr>
          <w:rFonts w:eastAsia="仿宋_GB2312"/>
          <w:sz w:val="32"/>
          <w:szCs w:val="32"/>
        </w:rPr>
        <w:t>公务用车购置</w:t>
      </w:r>
      <w:r>
        <w:rPr>
          <w:rFonts w:hint="eastAsia" w:eastAsia="仿宋_GB2312"/>
          <w:sz w:val="32"/>
          <w:szCs w:val="32"/>
        </w:rPr>
        <w:t>”经费</w:t>
      </w:r>
      <w:r>
        <w:rPr>
          <w:rFonts w:eastAsia="仿宋_GB2312"/>
          <w:sz w:val="32"/>
          <w:szCs w:val="32"/>
        </w:rPr>
        <w:t>支出</w:t>
      </w:r>
      <w:r>
        <w:rPr>
          <w:rFonts w:hint="eastAsia" w:eastAsia="仿宋_GB2312"/>
          <w:sz w:val="32"/>
          <w:szCs w:val="32"/>
          <w:lang w:val="en-US" w:eastAsia="zh-CN"/>
        </w:rPr>
        <w:t>0</w:t>
      </w:r>
      <w:r>
        <w:rPr>
          <w:rFonts w:eastAsia="仿宋_GB2312"/>
          <w:sz w:val="32"/>
          <w:szCs w:val="32"/>
        </w:rPr>
        <w:t>万元</w:t>
      </w:r>
      <w:r>
        <w:rPr>
          <w:rFonts w:hint="eastAsia" w:eastAsia="仿宋_GB2312"/>
          <w:sz w:val="32"/>
          <w:szCs w:val="32"/>
        </w:rPr>
        <w:t>。</w:t>
      </w:r>
      <w:r>
        <w:rPr>
          <w:rFonts w:hint="eastAsia" w:ascii="仿宋_GB2312" w:eastAsia="仿宋_GB2312" w:cs="DengXian-Regular"/>
          <w:sz w:val="32"/>
          <w:szCs w:val="32"/>
        </w:rPr>
        <w:t>公务用车购置费支出较预算增加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eastAsia="仿宋_GB2312"/>
          <w:sz w:val="32"/>
          <w:szCs w:val="32"/>
          <w:lang w:eastAsia="zh-CN"/>
        </w:rPr>
        <w:t>未发生公务用车购置费支出</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本部门2019年度单位公务用车保有量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辆。公车运行维护费支出较预算增加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本年度为发生公务用车维修修护费</w:t>
      </w:r>
      <w:r>
        <w:rPr>
          <w:rFonts w:hint="eastAsia" w:ascii="仿宋_GB2312" w:eastAsia="仿宋_GB2312" w:cs="DengXian-Regular"/>
          <w:sz w:val="32"/>
          <w:szCs w:val="32"/>
        </w:rPr>
        <w:t>；较上年增加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eastAsia="楷体_GB2312"/>
          <w:b/>
          <w:bCs/>
          <w:sz w:val="32"/>
          <w:szCs w:val="32"/>
        </w:rPr>
        <w:t>（三）公务接待费支出</w:t>
      </w:r>
      <w:r>
        <w:rPr>
          <w:rFonts w:hint="eastAsia" w:eastAsia="楷体_GB2312"/>
          <w:b/>
          <w:bCs/>
          <w:sz w:val="32"/>
          <w:szCs w:val="32"/>
          <w:lang w:val="en-US" w:eastAsia="zh-CN"/>
        </w:rPr>
        <w:t>0</w:t>
      </w:r>
      <w:r>
        <w:rPr>
          <w:rFonts w:eastAsia="楷体_GB2312"/>
          <w:b/>
          <w:bCs/>
          <w:sz w:val="32"/>
          <w:szCs w:val="32"/>
        </w:rPr>
        <w:t>万元。</w:t>
      </w:r>
      <w:r>
        <w:rPr>
          <w:rFonts w:hint="eastAsia" w:ascii="仿宋_GB2312" w:eastAsia="仿宋_GB2312" w:cs="DengXian-Regular"/>
          <w:sz w:val="32"/>
          <w:szCs w:val="32"/>
        </w:rPr>
        <w:t>本部门2019年度公务接待共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人次。公务接待费支出较预算减少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未发生公务接待费支出</w:t>
      </w:r>
      <w:r>
        <w:rPr>
          <w:rFonts w:hint="eastAsia" w:ascii="仿宋_GB2312" w:eastAsia="仿宋_GB2312" w:cs="DengXian-Regular"/>
          <w:sz w:val="32"/>
          <w:szCs w:val="32"/>
        </w:rPr>
        <w:t>；较上年度减少</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sz w:val="32"/>
          <w:szCs w:val="40"/>
        </w:rPr>
      </w:pPr>
      <w:bookmarkStart w:id="0" w:name="_Hlk51834005"/>
      <w:r>
        <w:rPr>
          <w:rFonts w:hint="eastAsia" w:ascii="黑体"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189.27</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%。组织对2019年度</w:t>
      </w:r>
      <w:r>
        <w:rPr>
          <w:rFonts w:hint="eastAsia" w:ascii="仿宋_GB2312" w:hAnsi="仿宋_GB2312" w:eastAsia="仿宋_GB2312" w:cs="仿宋_GB2312"/>
          <w:sz w:val="32"/>
          <w:szCs w:val="32"/>
          <w:lang w:eastAsia="zh-CN"/>
        </w:rPr>
        <w:t>福利彩票销售机构的业务费支出</w:t>
      </w:r>
      <w:r>
        <w:rPr>
          <w:rFonts w:hint="eastAsia" w:ascii="仿宋_GB2312" w:hAnsi="仿宋_GB2312" w:eastAsia="仿宋_GB2312" w:cs="仿宋_GB2312"/>
          <w:sz w:val="32"/>
          <w:szCs w:val="32"/>
          <w:lang w:val="en-US" w:eastAsia="zh-CN"/>
        </w:rPr>
        <w:t>1个</w:t>
      </w:r>
      <w:r>
        <w:rPr>
          <w:rFonts w:hint="eastAsia" w:ascii="仿宋_GB2312" w:hAnsi="仿宋_GB2312" w:eastAsia="仿宋_GB2312" w:cs="仿宋_GB2312"/>
          <w:sz w:val="32"/>
          <w:szCs w:val="32"/>
        </w:rPr>
        <w:t>政府性基金预算项目支出开展绩效自评，共涉及资金</w:t>
      </w:r>
      <w:r>
        <w:rPr>
          <w:rFonts w:hint="eastAsia" w:ascii="仿宋_GB2312" w:hAnsi="仿宋_GB2312" w:eastAsia="仿宋_GB2312" w:cs="仿宋_GB2312"/>
          <w:sz w:val="32"/>
          <w:szCs w:val="32"/>
          <w:lang w:val="en-US" w:eastAsia="zh-CN"/>
        </w:rPr>
        <w:t>189.27</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%。部门自行组织对</w:t>
      </w:r>
      <w:r>
        <w:rPr>
          <w:rFonts w:hint="eastAsia" w:ascii="仿宋_GB2312" w:hAnsi="仿宋_GB2312" w:eastAsia="仿宋_GB2312" w:cs="仿宋_GB2312"/>
          <w:sz w:val="32"/>
          <w:szCs w:val="32"/>
          <w:lang w:eastAsia="zh-CN"/>
        </w:rPr>
        <w:t>福彩销售机构的业务费</w:t>
      </w:r>
      <w:r>
        <w:rPr>
          <w:rFonts w:hint="eastAsia" w:ascii="仿宋_GB2312" w:hAnsi="仿宋_GB2312" w:eastAsia="仿宋_GB2312" w:cs="仿宋_GB2312"/>
          <w:sz w:val="32"/>
          <w:szCs w:val="32"/>
        </w:rPr>
        <w:t>项目开展了部门评价，涉及一般公共预算支出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189.27</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福彩销售机构的业务费</w:t>
      </w:r>
      <w:r>
        <w:rPr>
          <w:rFonts w:hint="eastAsia" w:ascii="仿宋_GB2312" w:hAnsi="仿宋_GB2312" w:eastAsia="仿宋_GB2312" w:cs="仿宋_GB2312"/>
          <w:sz w:val="32"/>
          <w:szCs w:val="32"/>
        </w:rPr>
        <w:t>项目绩效自评结果。</w:t>
      </w:r>
    </w:p>
    <w:p>
      <w:pPr>
        <w:numPr>
          <w:ilvl w:val="0"/>
          <w:numId w:val="2"/>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福彩销售机构的业务费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福彩销售机构的业务费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91</w:t>
      </w:r>
      <w:r>
        <w:rPr>
          <w:rFonts w:hint="eastAsia" w:ascii="仿宋_GB2312" w:hAnsi="仿宋_GB2312" w:eastAsia="仿宋_GB2312" w:cs="仿宋_GB2312"/>
          <w:sz w:val="32"/>
          <w:szCs w:val="32"/>
        </w:rPr>
        <w:t>分（绩效自评表附后）。</w:t>
      </w:r>
    </w:p>
    <w:p>
      <w:pPr>
        <w:widowControl w:val="0"/>
        <w:numPr>
          <w:numId w:val="0"/>
        </w:numPr>
        <w:adjustRightInd w:val="0"/>
        <w:snapToGrid w:val="0"/>
        <w:spacing w:after="0" w:line="580" w:lineRule="exact"/>
        <w:jc w:val="both"/>
        <w:rPr>
          <w:rFonts w:hint="eastAsia" w:ascii="仿宋_GB2312" w:hAnsi="仿宋_GB2312" w:eastAsia="仿宋_GB2312" w:cs="仿宋_GB2312"/>
          <w:sz w:val="32"/>
          <w:szCs w:val="32"/>
        </w:rPr>
      </w:pPr>
    </w:p>
    <w:p>
      <w:pPr>
        <w:widowControl w:val="0"/>
        <w:numPr>
          <w:numId w:val="0"/>
        </w:numPr>
        <w:adjustRightInd w:val="0"/>
        <w:snapToGrid w:val="0"/>
        <w:spacing w:after="0" w:line="580" w:lineRule="exact"/>
        <w:jc w:val="both"/>
        <w:rPr>
          <w:rFonts w:hint="eastAsia" w:ascii="仿宋_GB2312" w:hAnsi="仿宋_GB2312" w:eastAsia="仿宋_GB2312" w:cs="仿宋_GB2312"/>
          <w:sz w:val="32"/>
          <w:szCs w:val="32"/>
        </w:rPr>
      </w:pPr>
    </w:p>
    <w:tbl>
      <w:tblPr>
        <w:tblW w:w="10060" w:type="dxa"/>
        <w:tblInd w:w="0" w:type="dxa"/>
        <w:shd w:val="clear"/>
        <w:tblLayout w:type="autofit"/>
        <w:tblCellMar>
          <w:top w:w="0" w:type="dxa"/>
          <w:left w:w="0" w:type="dxa"/>
          <w:bottom w:w="0" w:type="dxa"/>
          <w:right w:w="0" w:type="dxa"/>
        </w:tblCellMar>
      </w:tblPr>
      <w:tblGrid>
        <w:gridCol w:w="1107"/>
        <w:gridCol w:w="1271"/>
        <w:gridCol w:w="1063"/>
        <w:gridCol w:w="1328"/>
        <w:gridCol w:w="1387"/>
        <w:gridCol w:w="1270"/>
        <w:gridCol w:w="941"/>
        <w:gridCol w:w="1693"/>
      </w:tblGrid>
      <w:tr>
        <w:tblPrEx>
          <w:shd w:val="clear"/>
          <w:tblCellMar>
            <w:top w:w="0" w:type="dxa"/>
            <w:left w:w="0" w:type="dxa"/>
            <w:bottom w:w="0" w:type="dxa"/>
            <w:right w:w="0" w:type="dxa"/>
          </w:tblCellMar>
        </w:tblPrEx>
        <w:trPr>
          <w:trHeight w:val="1105" w:hRule="atLeast"/>
        </w:trPr>
        <w:tc>
          <w:tcPr>
            <w:tcW w:w="10060" w:type="dxa"/>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0"/>
                <w:szCs w:val="40"/>
                <w:u w:val="none"/>
              </w:rPr>
            </w:pPr>
            <w:r>
              <w:rPr>
                <w:rFonts w:hint="default" w:ascii="方正小标宋_GBK" w:hAnsi="方正小标宋_GBK" w:eastAsia="方正小标宋_GBK" w:cs="方正小标宋_GBK"/>
                <w:i w:val="0"/>
                <w:color w:val="000000"/>
                <w:kern w:val="0"/>
                <w:sz w:val="40"/>
                <w:szCs w:val="40"/>
                <w:u w:val="none"/>
                <w:bdr w:val="none" w:color="auto" w:sz="0" w:space="0"/>
                <w:lang w:val="en-US" w:eastAsia="zh-CN" w:bidi="ar"/>
              </w:rPr>
              <w:t>部门预算项目绩效自评表</w:t>
            </w:r>
          </w:p>
        </w:tc>
      </w:tr>
      <w:tr>
        <w:tblPrEx>
          <w:tblCellMar>
            <w:top w:w="0" w:type="dxa"/>
            <w:left w:w="0" w:type="dxa"/>
            <w:bottom w:w="0" w:type="dxa"/>
            <w:right w:w="0" w:type="dxa"/>
          </w:tblCellMar>
        </w:tblPrEx>
        <w:trPr>
          <w:trHeight w:val="795" w:hRule="atLeast"/>
        </w:trPr>
        <w:tc>
          <w:tcPr>
            <w:tcW w:w="0" w:type="auto"/>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2019年度）</w:t>
            </w:r>
          </w:p>
        </w:tc>
      </w:tr>
      <w:tr>
        <w:tblPrEx>
          <w:tblCellMar>
            <w:top w:w="0" w:type="dxa"/>
            <w:left w:w="0" w:type="dxa"/>
            <w:bottom w:w="0" w:type="dxa"/>
            <w:right w:w="0" w:type="dxa"/>
          </w:tblCellMar>
        </w:tblPrEx>
        <w:trPr>
          <w:trHeight w:val="795" w:hRule="atLeast"/>
        </w:trPr>
        <w:tc>
          <w:tcPr>
            <w:tcW w:w="0" w:type="auto"/>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填报单位：霸州市福利彩票发行管理中心</w:t>
            </w: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金额单位：万元</w:t>
            </w:r>
          </w:p>
        </w:tc>
      </w:tr>
      <w:tr>
        <w:tblPrEx>
          <w:tblCellMar>
            <w:top w:w="0" w:type="dxa"/>
            <w:left w:w="0" w:type="dxa"/>
            <w:bottom w:w="0" w:type="dxa"/>
            <w:right w:w="0" w:type="dxa"/>
          </w:tblCellMar>
        </w:tblPrEx>
        <w:trPr>
          <w:trHeight w:val="804" w:hRule="atLeast"/>
        </w:trPr>
        <w:tc>
          <w:tcPr>
            <w:tcW w:w="1107" w:type="dxa"/>
            <w:tcBorders>
              <w:top w:val="single" w:color="000000" w:sz="4" w:space="0"/>
              <w:left w:val="single" w:color="000000" w:sz="4" w:space="0"/>
              <w:bottom w:val="nil"/>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Style w:val="35"/>
                <w:bdr w:val="none" w:color="auto" w:sz="0" w:space="0"/>
                <w:lang w:val="en-US" w:eastAsia="zh-CN" w:bidi="ar"/>
              </w:rPr>
              <w:t>一、</w:t>
            </w:r>
            <w:r>
              <w:rPr>
                <w:rStyle w:val="36"/>
                <w:rFonts w:eastAsia="宋体"/>
                <w:bdr w:val="none" w:color="auto" w:sz="0" w:space="0"/>
                <w:lang w:val="en-US" w:eastAsia="zh-CN" w:bidi="ar"/>
              </w:rPr>
              <w:t xml:space="preserve"> </w:t>
            </w:r>
            <w:r>
              <w:rPr>
                <w:rStyle w:val="35"/>
                <w:bdr w:val="none" w:color="auto" w:sz="0" w:space="0"/>
                <w:lang w:val="en-US" w:eastAsia="zh-CN" w:bidi="ar"/>
              </w:rPr>
              <w:t>基本情况</w:t>
            </w: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项目名称</w:t>
            </w:r>
          </w:p>
        </w:tc>
        <w:tc>
          <w:tcPr>
            <w:tcW w:w="239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福彩销售业务资金</w:t>
            </w:r>
          </w:p>
        </w:tc>
        <w:tc>
          <w:tcPr>
            <w:tcW w:w="13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实施(主管）单位</w:t>
            </w:r>
          </w:p>
        </w:tc>
        <w:tc>
          <w:tcPr>
            <w:tcW w:w="3904"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霸州市财政局综合科</w:t>
            </w:r>
          </w:p>
        </w:tc>
      </w:tr>
      <w:tr>
        <w:tblPrEx>
          <w:tblCellMar>
            <w:top w:w="0" w:type="dxa"/>
            <w:left w:w="0" w:type="dxa"/>
            <w:bottom w:w="0" w:type="dxa"/>
            <w:right w:w="0" w:type="dxa"/>
          </w:tblCellMar>
        </w:tblPrEx>
        <w:trPr>
          <w:trHeight w:val="804" w:hRule="atLeast"/>
        </w:trPr>
        <w:tc>
          <w:tcPr>
            <w:tcW w:w="1107"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二、预算执行情况</w:t>
            </w:r>
          </w:p>
        </w:tc>
        <w:tc>
          <w:tcPr>
            <w:tcW w:w="23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预算安排情况（调整后）</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资金到位情况</w:t>
            </w:r>
          </w:p>
        </w:tc>
        <w:tc>
          <w:tcPr>
            <w:tcW w:w="2211"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资金执行情况</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预算执行进度</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预算数：</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189.27</w:t>
            </w:r>
          </w:p>
        </w:tc>
        <w:tc>
          <w:tcPr>
            <w:tcW w:w="13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到位数：</w:t>
            </w:r>
          </w:p>
        </w:tc>
        <w:tc>
          <w:tcPr>
            <w:tcW w:w="13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176.73</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执行数：</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176.73</w:t>
            </w:r>
          </w:p>
        </w:tc>
        <w:tc>
          <w:tcPr>
            <w:tcW w:w="16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93%</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其中：财政资金</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189.27</w:t>
            </w:r>
          </w:p>
        </w:tc>
        <w:tc>
          <w:tcPr>
            <w:tcW w:w="13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其中：财政资金</w:t>
            </w:r>
          </w:p>
        </w:tc>
        <w:tc>
          <w:tcPr>
            <w:tcW w:w="13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176.73</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其中：财政资金</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176.73</w:t>
            </w:r>
          </w:p>
        </w:tc>
        <w:tc>
          <w:tcPr>
            <w:tcW w:w="16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default" w:ascii="Calibri" w:hAnsi="Calibri" w:eastAsia="宋体" w:cs="Calibri"/>
                <w:i w:val="0"/>
                <w:color w:val="000000"/>
                <w:sz w:val="21"/>
                <w:szCs w:val="21"/>
                <w:u w:val="none"/>
              </w:rPr>
            </w:pPr>
          </w:p>
        </w:tc>
        <w:tc>
          <w:tcPr>
            <w:tcW w:w="132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w:t>
            </w:r>
          </w:p>
        </w:tc>
        <w:tc>
          <w:tcPr>
            <w:tcW w:w="138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4" w:hRule="atLeast"/>
        </w:trPr>
        <w:tc>
          <w:tcPr>
            <w:tcW w:w="1107"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三、目标完成情况</w:t>
            </w:r>
          </w:p>
        </w:tc>
        <w:tc>
          <w:tcPr>
            <w:tcW w:w="3662"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年度预期目标</w:t>
            </w:r>
          </w:p>
        </w:tc>
        <w:tc>
          <w:tcPr>
            <w:tcW w:w="3598"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具体完成情况</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总体完成率</w:t>
            </w:r>
          </w:p>
        </w:tc>
      </w:tr>
      <w:tr>
        <w:tblPrEx>
          <w:tblCellMar>
            <w:top w:w="0" w:type="dxa"/>
            <w:left w:w="0" w:type="dxa"/>
            <w:bottom w:w="0" w:type="dxa"/>
            <w:right w:w="0" w:type="dxa"/>
          </w:tblCellMar>
        </w:tblPrEx>
        <w:trPr>
          <w:trHeight w:val="482"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62"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福彩宣传工作不少于15次；财补人员工资及时发放；房租按时交纳；劳务派遣人员工资及时发放；福彩中心各项日常工作正常运转。</w:t>
            </w:r>
          </w:p>
        </w:tc>
        <w:tc>
          <w:tcPr>
            <w:tcW w:w="3598"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福彩宣传工作15次；财补人员工资发放及时率90%；房租及时交纳率80%；劳务派遣人员工资发放及时率85%；福彩中心日常工作正常运转</w:t>
            </w:r>
          </w:p>
        </w:tc>
        <w:tc>
          <w:tcPr>
            <w:tcW w:w="169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85%</w:t>
            </w:r>
          </w:p>
        </w:tc>
      </w:tr>
      <w:tr>
        <w:tblPrEx>
          <w:tblCellMar>
            <w:top w:w="0" w:type="dxa"/>
            <w:left w:w="0" w:type="dxa"/>
            <w:bottom w:w="0" w:type="dxa"/>
            <w:right w:w="0" w:type="dxa"/>
          </w:tblCellMar>
        </w:tblPrEx>
        <w:trPr>
          <w:trHeight w:val="482"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62"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598"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1081"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662"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598"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69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4" w:hRule="atLeast"/>
        </w:trPr>
        <w:tc>
          <w:tcPr>
            <w:tcW w:w="1107"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Style w:val="35"/>
                <w:bdr w:val="none" w:color="auto" w:sz="0" w:space="0"/>
                <w:lang w:val="en-US" w:eastAsia="zh-CN" w:bidi="ar"/>
              </w:rPr>
              <w:t>四、</w:t>
            </w:r>
            <w:r>
              <w:rPr>
                <w:rStyle w:val="36"/>
                <w:rFonts w:eastAsia="宋体"/>
                <w:bdr w:val="none" w:color="auto" w:sz="0" w:space="0"/>
                <w:lang w:val="en-US" w:eastAsia="zh-CN" w:bidi="ar"/>
              </w:rPr>
              <w:t xml:space="preserve"> </w:t>
            </w:r>
            <w:r>
              <w:rPr>
                <w:rStyle w:val="35"/>
                <w:bdr w:val="none" w:color="auto" w:sz="0" w:space="0"/>
                <w:lang w:val="en-US" w:eastAsia="zh-CN" w:bidi="ar"/>
              </w:rPr>
              <w:t>年度绩效指标完成情况</w:t>
            </w: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一级指标</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二级指标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三级指标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预期指标值</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实际完成值</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自评得分</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产出指标（50）</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数量指标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组织宣传活动次数</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15次</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15次</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质量指标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系统故障率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时效指标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财补人员工资发放及时率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≥90%</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≥90%</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15</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劳务派遣人员工资发放及时率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≥90%</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≥85%</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效益指标（30）</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经济效益指标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销售金额增长率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-0.33%</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w:t>
            </w:r>
          </w:p>
        </w:tc>
      </w:tr>
      <w:tr>
        <w:tblPrEx>
          <w:tblCellMar>
            <w:top w:w="0" w:type="dxa"/>
            <w:left w:w="0" w:type="dxa"/>
            <w:bottom w:w="0" w:type="dxa"/>
            <w:right w:w="0" w:type="dxa"/>
          </w:tblCellMar>
        </w:tblPrEx>
        <w:trPr>
          <w:trHeight w:val="1425"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可持续影响指标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福彩中心工作正常运转率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≥90%</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90%</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满意度指标（10）</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满意度指标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消费者对福利彩票发行工作的满意度</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88%</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27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预算执行率（10）</w:t>
            </w:r>
          </w:p>
        </w:tc>
        <w:tc>
          <w:tcPr>
            <w:tcW w:w="106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预算执行率</w:t>
            </w:r>
          </w:p>
        </w:tc>
        <w:tc>
          <w:tcPr>
            <w:tcW w:w="27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预算执行率</w:t>
            </w:r>
          </w:p>
        </w:tc>
        <w:tc>
          <w:tcPr>
            <w:tcW w:w="127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w:t>
            </w:r>
          </w:p>
        </w:tc>
        <w:tc>
          <w:tcPr>
            <w:tcW w:w="94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93%</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w:t>
            </w:r>
          </w:p>
        </w:tc>
      </w:tr>
      <w:tr>
        <w:tblPrEx>
          <w:tblCellMar>
            <w:top w:w="0" w:type="dxa"/>
            <w:left w:w="0" w:type="dxa"/>
            <w:bottom w:w="0" w:type="dxa"/>
            <w:right w:w="0" w:type="dxa"/>
          </w:tblCellMar>
        </w:tblPrEx>
        <w:trPr>
          <w:trHeight w:val="804" w:hRule="atLeast"/>
        </w:trPr>
        <w:tc>
          <w:tcPr>
            <w:tcW w:w="1107"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260"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总分</w:t>
            </w:r>
          </w:p>
        </w:tc>
        <w:tc>
          <w:tcPr>
            <w:tcW w:w="169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91</w:t>
            </w:r>
          </w:p>
        </w:tc>
      </w:tr>
      <w:tr>
        <w:tblPrEx>
          <w:tblCellMar>
            <w:top w:w="0" w:type="dxa"/>
            <w:left w:w="0" w:type="dxa"/>
            <w:bottom w:w="0" w:type="dxa"/>
            <w:right w:w="0" w:type="dxa"/>
          </w:tblCellMar>
        </w:tblPrEx>
        <w:trPr>
          <w:trHeight w:val="2045" w:hRule="atLeast"/>
        </w:trPr>
        <w:tc>
          <w:tcPr>
            <w:tcW w:w="1107" w:type="dxa"/>
            <w:tcBorders>
              <w:top w:val="nil"/>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五、</w:t>
            </w:r>
            <w:r>
              <w:rPr>
                <w:rStyle w:val="36"/>
                <w:rFonts w:eastAsia="宋体"/>
                <w:bdr w:val="none" w:color="auto" w:sz="0" w:space="0"/>
                <w:lang w:val="en-US" w:eastAsia="zh-CN" w:bidi="ar"/>
              </w:rPr>
              <w:t xml:space="preserve"> </w:t>
            </w:r>
            <w:r>
              <w:rPr>
                <w:rStyle w:val="35"/>
                <w:bdr w:val="none" w:color="auto" w:sz="0" w:space="0"/>
                <w:lang w:val="en-US" w:eastAsia="zh-CN" w:bidi="ar"/>
              </w:rPr>
              <w:t>存在问题、原因及下一步整改措施</w:t>
            </w:r>
          </w:p>
        </w:tc>
        <w:tc>
          <w:tcPr>
            <w:tcW w:w="8953" w:type="dxa"/>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由于相关政策影响,造成电脑票销量出现负增长，再者由于霸州东部地区大型工厂外迁，大批外来务工人员流失，也对电脑票销售造成一定的冲击。但是由于视频票与即开票销售出色，2019年度总体销售额较2018年度微降0.33% 我中心认真总结经验，争取进一步提升销量，提高彩民满意度。</w:t>
            </w:r>
          </w:p>
        </w:tc>
      </w:tr>
      <w:tr>
        <w:tblPrEx>
          <w:tblCellMar>
            <w:top w:w="0" w:type="dxa"/>
            <w:left w:w="0" w:type="dxa"/>
            <w:bottom w:w="0" w:type="dxa"/>
            <w:right w:w="0" w:type="dxa"/>
          </w:tblCellMar>
        </w:tblPrEx>
        <w:trPr>
          <w:trHeight w:val="804" w:hRule="atLeast"/>
        </w:trPr>
        <w:tc>
          <w:tcPr>
            <w:tcW w:w="0" w:type="auto"/>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填报人：刘杰</w:t>
            </w: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tcBorders>
              <w:top w:val="nil"/>
              <w:left w:val="nil"/>
              <w:bottom w:val="nil"/>
              <w:right w:val="nil"/>
            </w:tcBorders>
            <w:shd w:val="clear"/>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0" w:type="auto"/>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联系电话：7220280</w:t>
            </w:r>
          </w:p>
        </w:tc>
      </w:tr>
    </w:tbl>
    <w:p>
      <w:pPr>
        <w:numPr>
          <w:numId w:val="0"/>
        </w:numPr>
        <w:adjustRightInd w:val="0"/>
        <w:snapToGrid w:val="0"/>
        <w:spacing w:after="0" w:line="580" w:lineRule="exact"/>
        <w:rPr>
          <w:rFonts w:hint="eastAsia" w:ascii="仿宋_GB2312" w:hAnsi="仿宋_GB2312" w:eastAsia="仿宋_GB2312" w:cs="仿宋_GB2312"/>
          <w:sz w:val="32"/>
          <w:szCs w:val="32"/>
        </w:rPr>
      </w:pPr>
    </w:p>
    <w:p>
      <w:pPr>
        <w:numPr>
          <w:numId w:val="0"/>
        </w:numPr>
        <w:adjustRightInd w:val="0"/>
        <w:snapToGrid w:val="0"/>
        <w:spacing w:after="0"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189.27</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176.73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93</w:t>
      </w:r>
      <w:r>
        <w:rPr>
          <w:rFonts w:hint="eastAsia" w:ascii="仿宋_GB2312" w:hAnsi="仿宋_GB2312" w:eastAsia="仿宋_GB2312" w:cs="仿宋_GB2312"/>
          <w:sz w:val="32"/>
          <w:szCs w:val="32"/>
        </w:rPr>
        <w:t>%。项目绩效目标完成情况：福彩宣传工作15次；财补人员工资发放及时率90%；房租及时交纳率80%；劳务派遣人员工资发放及时率85%；福彩中心日常工作正常运转。发现的主要问题及原因：由于相关政策影响,造成电脑票销量出现负增长，再者由于霸州东部地区大型工厂外迁，大批外来务工人员流失，也对电脑票销售造成一定的冲击。但是由于视频票与即开票销售出色，2019年度总体销售额较2018年度微降0.33% 。下一步改进措施：主要存在的问题在于年度销量提升未取得突破，针对此问题我中心下一年度工作计划：认真斟酌与比对，我中心把下年度工作重点放到即开票提升这一块。由于电脑票方面，单纯的依靠我中心的力量来提升电脑票销量，有较大难度。我中心采取通过省中心的促销活动，积极的配合与相应的辅助，快速落实省中心的促销方案。视频票方面，由于政策方面的影响，视频票销量正在萎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提升即开票销量工作计划：加大促销与宣传资金的投入，努力把彩民吸引过来。</w:t>
      </w:r>
    </w:p>
    <w:p>
      <w:pPr>
        <w:numPr>
          <w:ilvl w:val="0"/>
          <w:numId w:val="2"/>
        </w:numPr>
        <w:adjustRightInd w:val="0"/>
        <w:snapToGrid w:val="0"/>
        <w:spacing w:after="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福彩销售机构的业务费</w:t>
      </w:r>
      <w:r>
        <w:rPr>
          <w:rFonts w:hint="eastAsia" w:ascii="仿宋_GB2312" w:hAnsi="仿宋_GB2312" w:eastAsia="仿宋_GB2312" w:cs="仿宋_GB2312"/>
          <w:sz w:val="32"/>
          <w:szCs w:val="32"/>
        </w:rPr>
        <w:t>项目绩效自评综述：通过绩效自评结果，我中心认知分析了年初绩效目标设定的质量，结果是年初绩效目标设定在合理区间。绩效目标设定大部分清晰准确，有个别思路不明晰。我中心对绩效目标设定不明晰的认真总结经验，在下一年度避免出现类似情况。</w:t>
      </w:r>
    </w:p>
    <w:bookmarkEnd w:id="0"/>
    <w:p>
      <w:pPr>
        <w:pStyle w:val="3"/>
        <w:spacing w:before="0" w:after="0" w:line="580" w:lineRule="exact"/>
        <w:ind w:firstLine="1280" w:firstLineChars="4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pStyle w:val="4"/>
        <w:spacing w:before="0" w:after="0" w:line="580" w:lineRule="exact"/>
        <w:ind w:firstLine="640" w:firstLineChars="200"/>
        <w:rPr>
          <w:rFonts w:ascii="仿宋_GB2312" w:eastAsia="仿宋_GB2312" w:cs="DengXian-Regular"/>
          <w:b w:val="0"/>
        </w:rPr>
      </w:pPr>
      <w:r>
        <w:rPr>
          <w:rFonts w:hint="eastAsia" w:ascii="仿宋_GB2312" w:eastAsia="仿宋_GB2312" w:cs="DengXian-Regular"/>
          <w:b w:val="0"/>
        </w:rPr>
        <w:t>本部门2019年度机关运行经费支出</w:t>
      </w:r>
      <w:r>
        <w:rPr>
          <w:rFonts w:hint="eastAsia" w:ascii="仿宋_GB2312" w:eastAsia="仿宋_GB2312" w:cs="DengXian-Regular"/>
          <w:b w:val="0"/>
          <w:lang w:val="en-US" w:eastAsia="zh-CN"/>
        </w:rPr>
        <w:t>0</w:t>
      </w:r>
      <w:r>
        <w:rPr>
          <w:rFonts w:hint="eastAsia" w:ascii="仿宋_GB2312" w:eastAsia="仿宋_GB2312" w:cs="DengXian-Regular"/>
          <w:b w:val="0"/>
        </w:rPr>
        <w:t>万元，比2018年度增加</w:t>
      </w:r>
      <w:r>
        <w:rPr>
          <w:rFonts w:hint="eastAsia" w:ascii="仿宋_GB2312" w:eastAsia="仿宋_GB2312" w:cs="DengXian-Regular"/>
          <w:b w:val="0"/>
          <w:lang w:val="en-US" w:eastAsia="zh-CN"/>
        </w:rPr>
        <w:t>0</w:t>
      </w:r>
      <w:r>
        <w:rPr>
          <w:rFonts w:hint="eastAsia" w:ascii="仿宋_GB2312" w:eastAsia="仿宋_GB2312" w:cs="DengXian-Regular"/>
          <w:b w:val="0"/>
        </w:rPr>
        <w:t>万元，增长</w:t>
      </w:r>
      <w:r>
        <w:rPr>
          <w:rFonts w:hint="eastAsia" w:ascii="仿宋_GB2312" w:eastAsia="仿宋_GB2312" w:cs="DengXian-Regular"/>
          <w:b w:val="0"/>
          <w:lang w:val="en-US" w:eastAsia="zh-CN"/>
        </w:rPr>
        <w:t>0</w:t>
      </w:r>
      <w:r>
        <w:rPr>
          <w:rFonts w:hint="eastAsia" w:ascii="仿宋_GB2312" w:eastAsia="仿宋_GB2312" w:cs="DengXian-Regular"/>
          <w:b w:val="0"/>
        </w:rPr>
        <w:t>%。主要原因是</w:t>
      </w:r>
      <w:r>
        <w:rPr>
          <w:rFonts w:hint="eastAsia" w:ascii="仿宋_GB2312" w:eastAsia="仿宋_GB2312" w:cs="DengXian-Regular"/>
          <w:b w:val="0"/>
          <w:lang w:eastAsia="zh-CN"/>
        </w:rPr>
        <w:t>我中心无机关运行经费</w:t>
      </w:r>
      <w:r>
        <w:rPr>
          <w:rFonts w:hint="eastAsia" w:ascii="仿宋_GB2312" w:eastAsia="仿宋_GB2312" w:cs="DengXian-Regular"/>
          <w:b w:val="0"/>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eastAsia="zh-CN"/>
        </w:rPr>
      </w:pPr>
      <w:r>
        <w:rPr>
          <w:rFonts w:hint="eastAsia" w:ascii="仿宋_GB2312" w:eastAsia="仿宋_GB2312" w:cs="DengXian-Regular"/>
          <w:sz w:val="32"/>
          <w:szCs w:val="32"/>
        </w:rPr>
        <w:t>本部门2019年度政府采购支出总额</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截至2019年12月31日，本部门共有车辆</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w:t>
      </w:r>
    </w:p>
    <w:p>
      <w:pPr>
        <w:adjustRightInd w:val="0"/>
        <w:snapToGrid w:val="0"/>
        <w:spacing w:line="580" w:lineRule="exact"/>
        <w:ind w:firstLine="640" w:firstLineChars="200"/>
        <w:rPr>
          <w:rFonts w:ascii="楷体_GB2312" w:eastAsia="楷体_GB2312" w:cs="DengXian-Bold"/>
          <w:b/>
          <w:bCs/>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w:t>
      </w:r>
      <w:r>
        <w:rPr>
          <w:rFonts w:hint="eastAsia" w:ascii="仿宋_GB2312" w:eastAsia="仿宋_GB2312" w:cs="DengXian-Regular"/>
          <w:sz w:val="32"/>
          <w:szCs w:val="32"/>
          <w:lang w:eastAsia="zh-CN"/>
        </w:rPr>
        <w:t>，</w:t>
      </w:r>
      <w:r>
        <w:rPr>
          <w:rFonts w:hint="eastAsia" w:ascii="仿宋_GB2312" w:eastAsia="仿宋_GB2312" w:cs="DengXian-Regular"/>
          <w:sz w:val="32"/>
          <w:szCs w:val="32"/>
        </w:rPr>
        <w:t>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 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相关名词解释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line="1200" w:lineRule="exact"/>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第四部分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2019年度部门决算报表</w:t>
      </w:r>
    </w:p>
    <w:p>
      <w:pPr>
        <w:widowControl/>
        <w:spacing w:line="560" w:lineRule="exact"/>
        <w:jc w:val="center"/>
        <w:rPr>
          <w:rFonts w:ascii="黑体" w:eastAsia="黑体" w:cs="MS-UIGothic,Bold" w:hAnsiTheme="minorHAnsi"/>
          <w:bCs/>
          <w:kern w:val="0"/>
          <w:sz w:val="52"/>
          <w:szCs w:val="52"/>
        </w:rPr>
      </w:pPr>
    </w:p>
    <w:tbl>
      <w:tblPr>
        <w:tblW w:w="8927" w:type="dxa"/>
        <w:jc w:val="center"/>
        <w:shd w:val="clear"/>
        <w:tblLayout w:type="autofit"/>
        <w:tblCellMar>
          <w:top w:w="0" w:type="dxa"/>
          <w:left w:w="0" w:type="dxa"/>
          <w:bottom w:w="0" w:type="dxa"/>
          <w:right w:w="0" w:type="dxa"/>
        </w:tblCellMar>
      </w:tblPr>
      <w:tblGrid>
        <w:gridCol w:w="3028"/>
        <w:gridCol w:w="437"/>
        <w:gridCol w:w="690"/>
        <w:gridCol w:w="3028"/>
        <w:gridCol w:w="437"/>
        <w:gridCol w:w="1307"/>
      </w:tblGrid>
      <w:tr>
        <w:tblPrEx>
          <w:shd w:val="clear"/>
          <w:tblCellMar>
            <w:top w:w="0" w:type="dxa"/>
            <w:left w:w="0" w:type="dxa"/>
            <w:bottom w:w="0" w:type="dxa"/>
            <w:right w:w="0" w:type="dxa"/>
          </w:tblCellMar>
        </w:tblPrEx>
        <w:trPr>
          <w:trHeight w:val="476" w:hRule="exact"/>
          <w:jc w:val="center"/>
        </w:trPr>
        <w:tc>
          <w:tcPr>
            <w:tcW w:w="8927" w:type="dxa"/>
            <w:gridSpan w:val="6"/>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收入支出决算总表</w:t>
            </w:r>
          </w:p>
        </w:tc>
      </w:tr>
      <w:tr>
        <w:tblPrEx>
          <w:tblCellMar>
            <w:top w:w="0" w:type="dxa"/>
            <w:left w:w="0" w:type="dxa"/>
            <w:bottom w:w="0" w:type="dxa"/>
            <w:right w:w="0" w:type="dxa"/>
          </w:tblCellMar>
        </w:tblPrEx>
        <w:trPr>
          <w:trHeight w:val="476" w:hRule="exact"/>
          <w:jc w:val="center"/>
        </w:trPr>
        <w:tc>
          <w:tcPr>
            <w:tcW w:w="8927" w:type="dxa"/>
            <w:gridSpan w:val="6"/>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公开01表</w:t>
            </w:r>
          </w:p>
        </w:tc>
      </w:tr>
      <w:tr>
        <w:tblPrEx>
          <w:tblCellMar>
            <w:top w:w="0" w:type="dxa"/>
            <w:left w:w="0" w:type="dxa"/>
            <w:bottom w:w="0" w:type="dxa"/>
            <w:right w:w="0" w:type="dxa"/>
          </w:tblCellMar>
        </w:tblPrEx>
        <w:trPr>
          <w:trHeight w:val="476" w:hRule="exact"/>
          <w:jc w:val="center"/>
        </w:trPr>
        <w:tc>
          <w:tcPr>
            <w:tcW w:w="7620" w:type="dxa"/>
            <w:gridSpan w:val="5"/>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1307"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476" w:hRule="exact"/>
          <w:jc w:val="center"/>
        </w:trPr>
        <w:tc>
          <w:tcPr>
            <w:tcW w:w="4155"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收入</w:t>
            </w:r>
          </w:p>
        </w:tc>
        <w:tc>
          <w:tcPr>
            <w:tcW w:w="4772" w:type="dxa"/>
            <w:gridSpan w:val="3"/>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支出</w:t>
            </w: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行次</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金额</w:t>
            </w: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一、一般公共预算财政拨款收入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一、一般公共服务支出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二、政府性基金预算财政拨款收入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189.27</w:t>
            </w: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二、外交支出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三、上级补助收入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三、国防支出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四、事业收入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四、公共安全支出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五、经营收入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五、教育支出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六、附属单位上缴收入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六、科学技术支出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七、其他收入</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七、文化旅游体育与传媒支出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八、社会保障和就业支出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九、卫生健康支出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十、节能环保支出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十一、城乡社区支出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十二、农林水支出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十三、交通运输支出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十四、资源勘探信息等支出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十五、商业服务业等支出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十六、金融支出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十七、援助其他地区支出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十八、自然资源海洋气象等支出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十九、住房保障支出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二十、粮油物资储备支出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二十一、灾害防治及应急管理支出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二十二、其他支出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二十四、债务付息支出</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本年收入合计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本年支出合计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用事业基金弥补收支差额</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189.27</w:t>
            </w: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结余分配</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76" w:hRule="exact"/>
          <w:jc w:val="center"/>
        </w:trPr>
        <w:tc>
          <w:tcPr>
            <w:tcW w:w="302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6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2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总计</w:t>
            </w:r>
          </w:p>
        </w:tc>
        <w:tc>
          <w:tcPr>
            <w:tcW w:w="43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130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2.11</w:t>
            </w:r>
          </w:p>
        </w:tc>
      </w:tr>
      <w:tr>
        <w:tblPrEx>
          <w:tblCellMar>
            <w:top w:w="0" w:type="dxa"/>
            <w:left w:w="0" w:type="dxa"/>
            <w:bottom w:w="0" w:type="dxa"/>
            <w:right w:w="0" w:type="dxa"/>
          </w:tblCellMar>
        </w:tblPrEx>
        <w:trPr>
          <w:trHeight w:val="476" w:hRule="exact"/>
          <w:jc w:val="center"/>
        </w:trPr>
        <w:tc>
          <w:tcPr>
            <w:tcW w:w="8927" w:type="dxa"/>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p>
        </w:tc>
      </w:tr>
    </w:tbl>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tbl>
      <w:tblPr>
        <w:tblW w:w="9860" w:type="dxa"/>
        <w:tblInd w:w="0" w:type="dxa"/>
        <w:shd w:val="clear"/>
        <w:tblLayout w:type="fixed"/>
        <w:tblCellMar>
          <w:top w:w="0" w:type="dxa"/>
          <w:left w:w="0" w:type="dxa"/>
          <w:bottom w:w="0" w:type="dxa"/>
          <w:right w:w="0" w:type="dxa"/>
        </w:tblCellMar>
      </w:tblPr>
      <w:tblGrid>
        <w:gridCol w:w="1094"/>
        <w:gridCol w:w="1095"/>
        <w:gridCol w:w="1094"/>
        <w:gridCol w:w="1094"/>
        <w:gridCol w:w="771"/>
        <w:gridCol w:w="1117"/>
        <w:gridCol w:w="1066"/>
        <w:gridCol w:w="1084"/>
        <w:gridCol w:w="1445"/>
      </w:tblGrid>
      <w:tr>
        <w:tblPrEx>
          <w:shd w:val="clear"/>
          <w:tblCellMar>
            <w:top w:w="0" w:type="dxa"/>
            <w:left w:w="0" w:type="dxa"/>
            <w:bottom w:w="0" w:type="dxa"/>
            <w:right w:w="0" w:type="dxa"/>
          </w:tblCellMar>
        </w:tblPrEx>
        <w:trPr>
          <w:trHeight w:val="610" w:hRule="atLeast"/>
        </w:trPr>
        <w:tc>
          <w:tcPr>
            <w:tcW w:w="9860" w:type="dxa"/>
            <w:gridSpan w:val="9"/>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spacing w:after="0"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收入决算表</w:t>
            </w:r>
          </w:p>
        </w:tc>
      </w:tr>
      <w:tr>
        <w:tblPrEx>
          <w:tblCellMar>
            <w:top w:w="0" w:type="dxa"/>
            <w:left w:w="0" w:type="dxa"/>
            <w:bottom w:w="0" w:type="dxa"/>
            <w:right w:w="0" w:type="dxa"/>
          </w:tblCellMar>
        </w:tblPrEx>
        <w:trPr>
          <w:trHeight w:val="312" w:hRule="atLeast"/>
        </w:trPr>
        <w:tc>
          <w:tcPr>
            <w:tcW w:w="9860" w:type="dxa"/>
            <w:gridSpan w:val="9"/>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spacing w:after="0"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公开02表</w:t>
            </w:r>
          </w:p>
        </w:tc>
      </w:tr>
      <w:tr>
        <w:tblPrEx>
          <w:tblCellMar>
            <w:top w:w="0" w:type="dxa"/>
            <w:left w:w="0" w:type="dxa"/>
            <w:bottom w:w="0" w:type="dxa"/>
            <w:right w:w="0" w:type="dxa"/>
          </w:tblCellMar>
        </w:tblPrEx>
        <w:trPr>
          <w:trHeight w:val="610" w:hRule="atLeast"/>
        </w:trPr>
        <w:tc>
          <w:tcPr>
            <w:tcW w:w="8415" w:type="dxa"/>
            <w:gridSpan w:val="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spacing w:after="0"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1445" w:type="dxa"/>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spacing w:after="0"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322" w:hRule="atLeast"/>
        </w:trPr>
        <w:tc>
          <w:tcPr>
            <w:tcW w:w="2189"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1094"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本年收入合计</w:t>
            </w:r>
          </w:p>
        </w:tc>
        <w:tc>
          <w:tcPr>
            <w:tcW w:w="1094"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财政拨款收入</w:t>
            </w:r>
          </w:p>
        </w:tc>
        <w:tc>
          <w:tcPr>
            <w:tcW w:w="771"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上级补助收入</w:t>
            </w:r>
          </w:p>
        </w:tc>
        <w:tc>
          <w:tcPr>
            <w:tcW w:w="1117"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事业收入</w:t>
            </w:r>
          </w:p>
        </w:tc>
        <w:tc>
          <w:tcPr>
            <w:tcW w:w="1066"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经营收入</w:t>
            </w:r>
          </w:p>
        </w:tc>
        <w:tc>
          <w:tcPr>
            <w:tcW w:w="1084"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附属单位上缴收入</w:t>
            </w:r>
          </w:p>
        </w:tc>
        <w:tc>
          <w:tcPr>
            <w:tcW w:w="1445"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其他收入</w:t>
            </w:r>
          </w:p>
        </w:tc>
      </w:tr>
      <w:tr>
        <w:tblPrEx>
          <w:tblCellMar>
            <w:top w:w="0" w:type="dxa"/>
            <w:left w:w="0" w:type="dxa"/>
            <w:bottom w:w="0" w:type="dxa"/>
            <w:right w:w="0" w:type="dxa"/>
          </w:tblCellMar>
        </w:tblPrEx>
        <w:trPr>
          <w:trHeight w:val="322" w:hRule="atLeast"/>
        </w:trPr>
        <w:tc>
          <w:tcPr>
            <w:tcW w:w="1094"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1095"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771"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8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 w:hRule="atLeast"/>
        </w:trPr>
        <w:tc>
          <w:tcPr>
            <w:tcW w:w="1094"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771"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8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 w:hRule="atLeast"/>
        </w:trPr>
        <w:tc>
          <w:tcPr>
            <w:tcW w:w="1094"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5"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9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771"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117"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66"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084"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c>
          <w:tcPr>
            <w:tcW w:w="1445"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spacing w:after="0" w:line="240" w:lineRule="auto"/>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95" w:hRule="atLeast"/>
        </w:trPr>
        <w:tc>
          <w:tcPr>
            <w:tcW w:w="2189"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094"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1094"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771"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1117"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1066"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1084"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144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r>
      <w:tr>
        <w:tblPrEx>
          <w:tblCellMar>
            <w:top w:w="0" w:type="dxa"/>
            <w:left w:w="0" w:type="dxa"/>
            <w:bottom w:w="0" w:type="dxa"/>
            <w:right w:w="0" w:type="dxa"/>
          </w:tblCellMar>
        </w:tblPrEx>
        <w:trPr>
          <w:trHeight w:val="744" w:hRule="atLeast"/>
        </w:trPr>
        <w:tc>
          <w:tcPr>
            <w:tcW w:w="2189"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176.73</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176.73</w:t>
            </w:r>
          </w:p>
        </w:tc>
        <w:tc>
          <w:tcPr>
            <w:tcW w:w="77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b/>
                <w:i w:val="0"/>
                <w:color w:val="000000"/>
                <w:sz w:val="22"/>
                <w:szCs w:val="22"/>
                <w:u w:val="none"/>
              </w:rPr>
            </w:pPr>
          </w:p>
        </w:tc>
        <w:tc>
          <w:tcPr>
            <w:tcW w:w="111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b/>
                <w:i w:val="0"/>
                <w:color w:val="000000"/>
                <w:sz w:val="22"/>
                <w:szCs w:val="22"/>
                <w:u w:val="none"/>
              </w:rPr>
            </w:pPr>
          </w:p>
        </w:tc>
        <w:tc>
          <w:tcPr>
            <w:tcW w:w="106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b/>
                <w:i w:val="0"/>
                <w:color w:val="000000"/>
                <w:sz w:val="22"/>
                <w:szCs w:val="22"/>
                <w:u w:val="none"/>
              </w:rPr>
            </w:pPr>
          </w:p>
        </w:tc>
        <w:tc>
          <w:tcPr>
            <w:tcW w:w="108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b/>
                <w:i w:val="0"/>
                <w:color w:val="000000"/>
                <w:sz w:val="22"/>
                <w:szCs w:val="22"/>
                <w:u w:val="none"/>
              </w:rPr>
            </w:pPr>
          </w:p>
        </w:tc>
        <w:tc>
          <w:tcPr>
            <w:tcW w:w="14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616" w:hRule="atLeast"/>
        </w:trPr>
        <w:tc>
          <w:tcPr>
            <w:tcW w:w="1094"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w:t>
            </w:r>
          </w:p>
        </w:tc>
        <w:tc>
          <w:tcPr>
            <w:tcW w:w="109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其他支出</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77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11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6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8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4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15" w:hRule="atLeast"/>
        </w:trPr>
        <w:tc>
          <w:tcPr>
            <w:tcW w:w="1094"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22908</w:t>
            </w:r>
          </w:p>
        </w:tc>
        <w:tc>
          <w:tcPr>
            <w:tcW w:w="109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彩票发行销售机构业务费安排的支出</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77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11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6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8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4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215" w:hRule="atLeast"/>
        </w:trPr>
        <w:tc>
          <w:tcPr>
            <w:tcW w:w="1094"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2290804</w:t>
            </w:r>
          </w:p>
        </w:tc>
        <w:tc>
          <w:tcPr>
            <w:tcW w:w="109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福利彩票销售机构的业务费支出</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109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spacing w:after="0"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77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117"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6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08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c>
          <w:tcPr>
            <w:tcW w:w="1445" w:type="dxa"/>
            <w:tcBorders>
              <w:top w:val="nil"/>
              <w:left w:val="nil"/>
              <w:bottom w:val="single" w:color="000000" w:sz="4" w:space="0"/>
              <w:right w:val="single" w:color="000000" w:sz="4" w:space="0"/>
            </w:tcBorders>
            <w:shd w:val="clear"/>
            <w:noWrap/>
            <w:tcMar>
              <w:top w:w="15" w:type="dxa"/>
              <w:left w:w="15" w:type="dxa"/>
              <w:right w:w="15" w:type="dxa"/>
            </w:tcMar>
            <w:vAlign w:val="center"/>
          </w:tcPr>
          <w:p>
            <w:pPr>
              <w:spacing w:after="0" w:line="240" w:lineRule="auto"/>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2" w:hRule="atLeast"/>
        </w:trPr>
        <w:tc>
          <w:tcPr>
            <w:tcW w:w="986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注：本表反映部门本年度取得的各项收入情况。</w:t>
            </w:r>
          </w:p>
        </w:tc>
      </w:tr>
      <w:tr>
        <w:tblPrEx>
          <w:tblCellMar>
            <w:top w:w="0" w:type="dxa"/>
            <w:left w:w="0" w:type="dxa"/>
            <w:bottom w:w="0" w:type="dxa"/>
            <w:right w:w="0" w:type="dxa"/>
          </w:tblCellMar>
        </w:tblPrEx>
        <w:trPr>
          <w:trHeight w:val="312" w:hRule="atLeast"/>
        </w:trPr>
        <w:tc>
          <w:tcPr>
            <w:tcW w:w="986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spacing w:after="0" w:line="240" w:lineRule="auto"/>
              <w:jc w:val="left"/>
              <w:textAlignment w:val="center"/>
              <w:rPr>
                <w:rFonts w:hint="eastAsia" w:ascii="宋体" w:hAnsi="宋体" w:eastAsia="宋体" w:cs="宋体"/>
                <w:i w:val="0"/>
                <w:color w:val="000000"/>
                <w:kern w:val="0"/>
                <w:sz w:val="22"/>
                <w:szCs w:val="22"/>
                <w:u w:val="none"/>
                <w:bdr w:val="none" w:color="auto" w:sz="0" w:space="0"/>
                <w:lang w:val="en-US" w:eastAsia="zh-CN" w:bidi="ar"/>
              </w:rPr>
            </w:pPr>
          </w:p>
        </w:tc>
      </w:tr>
    </w:tbl>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tbl>
      <w:tblPr>
        <w:tblW w:w="9800" w:type="dxa"/>
        <w:tblInd w:w="0" w:type="dxa"/>
        <w:shd w:val="clear"/>
        <w:tblLayout w:type="autofit"/>
        <w:tblCellMar>
          <w:top w:w="0" w:type="dxa"/>
          <w:left w:w="0" w:type="dxa"/>
          <w:bottom w:w="0" w:type="dxa"/>
          <w:right w:w="0" w:type="dxa"/>
        </w:tblCellMar>
      </w:tblPr>
      <w:tblGrid>
        <w:gridCol w:w="784"/>
        <w:gridCol w:w="3390"/>
        <w:gridCol w:w="1099"/>
        <w:gridCol w:w="1052"/>
        <w:gridCol w:w="1099"/>
        <w:gridCol w:w="792"/>
        <w:gridCol w:w="792"/>
        <w:gridCol w:w="792"/>
      </w:tblGrid>
      <w:tr>
        <w:tblPrEx>
          <w:shd w:val="clear"/>
          <w:tblCellMar>
            <w:top w:w="0" w:type="dxa"/>
            <w:left w:w="0" w:type="dxa"/>
            <w:bottom w:w="0" w:type="dxa"/>
            <w:right w:w="0" w:type="dxa"/>
          </w:tblCellMar>
        </w:tblPrEx>
        <w:trPr>
          <w:trHeight w:val="454" w:hRule="atLeast"/>
        </w:trPr>
        <w:tc>
          <w:tcPr>
            <w:tcW w:w="9800" w:type="dxa"/>
            <w:gridSpan w:val="8"/>
            <w:tcBorders>
              <w:top w:val="nil"/>
              <w:left w:val="nil"/>
              <w:bottom w:val="nil"/>
              <w:right w:val="nil"/>
            </w:tcBorders>
            <w:shd w:val="clear"/>
            <w:noWrap/>
            <w:tcMar>
              <w:top w:w="15" w:type="dxa"/>
              <w:left w:w="15" w:type="dxa"/>
              <w:right w:w="15" w:type="dxa"/>
            </w:tcMar>
            <w:vAlign w:val="bottom"/>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支出决算表</w:t>
            </w:r>
          </w:p>
        </w:tc>
      </w:tr>
      <w:tr>
        <w:tblPrEx>
          <w:tblCellMar>
            <w:top w:w="0" w:type="dxa"/>
            <w:left w:w="0" w:type="dxa"/>
            <w:bottom w:w="0" w:type="dxa"/>
            <w:right w:w="0" w:type="dxa"/>
          </w:tblCellMar>
        </w:tblPrEx>
        <w:trPr>
          <w:trHeight w:val="454" w:hRule="atLeast"/>
        </w:trPr>
        <w:tc>
          <w:tcPr>
            <w:tcW w:w="0" w:type="auto"/>
            <w:gridSpan w:val="8"/>
            <w:tcBorders>
              <w:top w:val="nil"/>
              <w:left w:val="nil"/>
              <w:bottom w:val="nil"/>
              <w:right w:val="nil"/>
            </w:tcBorders>
            <w:shd w:val="clear"/>
            <w:noWrap/>
            <w:tcMar>
              <w:top w:w="15" w:type="dxa"/>
              <w:left w:w="15" w:type="dxa"/>
              <w:right w:w="15" w:type="dxa"/>
            </w:tcMar>
            <w:vAlign w:val="center"/>
          </w:tcPr>
          <w:p>
            <w:pPr>
              <w:widowControl/>
              <w:spacing w:line="240" w:lineRule="auto"/>
              <w:jc w:val="righ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公开03表</w:t>
            </w:r>
          </w:p>
        </w:tc>
      </w:tr>
      <w:tr>
        <w:tblPrEx>
          <w:tblCellMar>
            <w:top w:w="0" w:type="dxa"/>
            <w:left w:w="0" w:type="dxa"/>
            <w:bottom w:w="0" w:type="dxa"/>
            <w:right w:w="0" w:type="dxa"/>
          </w:tblCellMar>
        </w:tblPrEx>
        <w:trPr>
          <w:trHeight w:val="454" w:hRule="atLeast"/>
        </w:trPr>
        <w:tc>
          <w:tcPr>
            <w:tcW w:w="0" w:type="auto"/>
            <w:gridSpan w:val="6"/>
            <w:tcBorders>
              <w:top w:val="nil"/>
              <w:left w:val="nil"/>
              <w:bottom w:val="nil"/>
              <w:right w:val="nil"/>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部门：廊坊市霸州市福利彩票发行管理中心（本级）</w:t>
            </w:r>
          </w:p>
        </w:tc>
        <w:tc>
          <w:tcPr>
            <w:tcW w:w="0" w:type="auto"/>
            <w:gridSpan w:val="2"/>
            <w:tcBorders>
              <w:top w:val="nil"/>
              <w:left w:val="nil"/>
              <w:bottom w:val="nil"/>
              <w:right w:val="nil"/>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金额单位：万元</w:t>
            </w:r>
          </w:p>
        </w:tc>
      </w:tr>
      <w:tr>
        <w:tblPrEx>
          <w:tblCellMar>
            <w:top w:w="0" w:type="dxa"/>
            <w:left w:w="0" w:type="dxa"/>
            <w:bottom w:w="0" w:type="dxa"/>
            <w:right w:w="0" w:type="dxa"/>
          </w:tblCellMar>
        </w:tblPrEx>
        <w:trPr>
          <w:trHeight w:val="463" w:hRule="atLeast"/>
        </w:trPr>
        <w:tc>
          <w:tcPr>
            <w:tcW w:w="4174"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项目</w:t>
            </w:r>
          </w:p>
        </w:tc>
        <w:tc>
          <w:tcPr>
            <w:tcW w:w="1099"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本年支出合计</w:t>
            </w:r>
          </w:p>
        </w:tc>
        <w:tc>
          <w:tcPr>
            <w:tcW w:w="1052"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基本支出</w:t>
            </w:r>
          </w:p>
        </w:tc>
        <w:tc>
          <w:tcPr>
            <w:tcW w:w="1099"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项目支出</w:t>
            </w:r>
          </w:p>
        </w:tc>
        <w:tc>
          <w:tcPr>
            <w:tcW w:w="792"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上缴上级支出</w:t>
            </w:r>
          </w:p>
        </w:tc>
        <w:tc>
          <w:tcPr>
            <w:tcW w:w="792"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经营支出</w:t>
            </w:r>
          </w:p>
        </w:tc>
        <w:tc>
          <w:tcPr>
            <w:tcW w:w="792" w:type="dxa"/>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对附属单位补助支出</w:t>
            </w:r>
          </w:p>
        </w:tc>
      </w:tr>
      <w:tr>
        <w:tblPrEx>
          <w:tblCellMar>
            <w:top w:w="0" w:type="dxa"/>
            <w:left w:w="0" w:type="dxa"/>
            <w:bottom w:w="0" w:type="dxa"/>
            <w:right w:w="0" w:type="dxa"/>
          </w:tblCellMar>
        </w:tblPrEx>
        <w:trPr>
          <w:trHeight w:val="312" w:hRule="atLeast"/>
        </w:trPr>
        <w:tc>
          <w:tcPr>
            <w:tcW w:w="784"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功能分类科目编码</w:t>
            </w:r>
          </w:p>
        </w:tc>
        <w:tc>
          <w:tcPr>
            <w:tcW w:w="3390" w:type="dxa"/>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lang w:val="en-US" w:eastAsia="zh-CN"/>
              </w:rPr>
            </w:pPr>
          </w:p>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科目名称</w:t>
            </w: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5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312" w:hRule="atLeast"/>
        </w:trPr>
        <w:tc>
          <w:tcPr>
            <w:tcW w:w="784"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3390"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5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312" w:hRule="atLeast"/>
        </w:trPr>
        <w:tc>
          <w:tcPr>
            <w:tcW w:w="784"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3390" w:type="dxa"/>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5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99"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792" w:type="dxa"/>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3" w:hRule="atLeast"/>
        </w:trPr>
        <w:tc>
          <w:tcPr>
            <w:tcW w:w="4174"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栏次</w:t>
            </w:r>
          </w:p>
        </w:tc>
        <w:tc>
          <w:tcPr>
            <w:tcW w:w="1099"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w:t>
            </w:r>
          </w:p>
        </w:tc>
        <w:tc>
          <w:tcPr>
            <w:tcW w:w="1052"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w:t>
            </w:r>
          </w:p>
        </w:tc>
        <w:tc>
          <w:tcPr>
            <w:tcW w:w="1099"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w:t>
            </w:r>
          </w:p>
        </w:tc>
        <w:tc>
          <w:tcPr>
            <w:tcW w:w="792"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w:t>
            </w:r>
          </w:p>
        </w:tc>
        <w:tc>
          <w:tcPr>
            <w:tcW w:w="792"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w:t>
            </w:r>
          </w:p>
        </w:tc>
        <w:tc>
          <w:tcPr>
            <w:tcW w:w="792" w:type="dxa"/>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6</w:t>
            </w:r>
          </w:p>
        </w:tc>
      </w:tr>
      <w:tr>
        <w:tblPrEx>
          <w:tblCellMar>
            <w:top w:w="0" w:type="dxa"/>
            <w:left w:w="0" w:type="dxa"/>
            <w:bottom w:w="0" w:type="dxa"/>
            <w:right w:w="0" w:type="dxa"/>
          </w:tblCellMar>
        </w:tblPrEx>
        <w:trPr>
          <w:trHeight w:val="463" w:hRule="atLeast"/>
        </w:trPr>
        <w:tc>
          <w:tcPr>
            <w:tcW w:w="4174"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合计</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178.84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35.28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143.56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6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社会保障和就业支出</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687"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20802</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民政管理事务</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637"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2080201</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行政运行</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587"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229</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其他支出</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143.56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637"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22908</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彩票发行销售机构业务费安排的支出</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143.56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7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2290804</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福利彩票销售机构的业务费支出</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143.53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737"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2290808</w:t>
            </w:r>
          </w:p>
        </w:tc>
        <w:tc>
          <w:tcPr>
            <w:tcW w:w="339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彩票市场调控资金支出</w:t>
            </w:r>
          </w:p>
        </w:tc>
        <w:tc>
          <w:tcPr>
            <w:tcW w:w="10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3" w:hRule="atLeast"/>
        </w:trPr>
        <w:tc>
          <w:tcPr>
            <w:tcW w:w="0" w:type="auto"/>
            <w:gridSpan w:val="8"/>
            <w:tcBorders>
              <w:top w:val="nil"/>
              <w:left w:val="nil"/>
              <w:bottom w:val="nil"/>
              <w:right w:val="nil"/>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注：本表反映部门本年度各项支出情况。</w:t>
            </w:r>
          </w:p>
        </w:tc>
      </w:tr>
    </w:tbl>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tbl>
      <w:tblPr>
        <w:tblW w:w="10040" w:type="dxa"/>
        <w:tblInd w:w="0" w:type="dxa"/>
        <w:shd w:val="clear"/>
        <w:tblLayout w:type="autofit"/>
        <w:tblCellMar>
          <w:top w:w="0" w:type="dxa"/>
          <w:left w:w="0" w:type="dxa"/>
          <w:bottom w:w="0" w:type="dxa"/>
          <w:right w:w="0" w:type="dxa"/>
        </w:tblCellMar>
      </w:tblPr>
      <w:tblGrid>
        <w:gridCol w:w="2760"/>
        <w:gridCol w:w="333"/>
        <w:gridCol w:w="925"/>
        <w:gridCol w:w="3180"/>
        <w:gridCol w:w="333"/>
        <w:gridCol w:w="660"/>
        <w:gridCol w:w="925"/>
        <w:gridCol w:w="925"/>
      </w:tblGrid>
      <w:tr>
        <w:tblPrEx>
          <w:shd w:val="clear"/>
          <w:tblCellMar>
            <w:top w:w="0" w:type="dxa"/>
            <w:left w:w="0" w:type="dxa"/>
            <w:bottom w:w="0" w:type="dxa"/>
            <w:right w:w="0" w:type="dxa"/>
          </w:tblCellMar>
        </w:tblPrEx>
        <w:trPr>
          <w:trHeight w:val="453" w:hRule="atLeast"/>
        </w:trPr>
        <w:tc>
          <w:tcPr>
            <w:tcW w:w="10040" w:type="dxa"/>
            <w:gridSpan w:val="8"/>
            <w:tcBorders>
              <w:top w:val="nil"/>
              <w:left w:val="nil"/>
              <w:bottom w:val="nil"/>
              <w:right w:val="nil"/>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财政拨款收入支出决算总表</w:t>
            </w:r>
          </w:p>
        </w:tc>
      </w:tr>
      <w:tr>
        <w:tblPrEx>
          <w:tblCellMar>
            <w:top w:w="0" w:type="dxa"/>
            <w:left w:w="0" w:type="dxa"/>
            <w:bottom w:w="0" w:type="dxa"/>
            <w:right w:w="0" w:type="dxa"/>
          </w:tblCellMar>
        </w:tblPrEx>
        <w:trPr>
          <w:trHeight w:val="453" w:hRule="atLeast"/>
        </w:trPr>
        <w:tc>
          <w:tcPr>
            <w:tcW w:w="0" w:type="auto"/>
            <w:gridSpan w:val="8"/>
            <w:tcBorders>
              <w:top w:val="nil"/>
              <w:left w:val="nil"/>
              <w:bottom w:val="nil"/>
              <w:right w:val="nil"/>
            </w:tcBorders>
            <w:shd w:val="clear"/>
            <w:noWrap/>
            <w:tcMar>
              <w:top w:w="15" w:type="dxa"/>
              <w:left w:w="15" w:type="dxa"/>
              <w:right w:w="15" w:type="dxa"/>
            </w:tcMar>
            <w:vAlign w:val="center"/>
          </w:tcPr>
          <w:p>
            <w:pPr>
              <w:widowControl/>
              <w:spacing w:line="240" w:lineRule="auto"/>
              <w:jc w:val="righ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公开04表</w:t>
            </w:r>
          </w:p>
        </w:tc>
      </w:tr>
      <w:tr>
        <w:tblPrEx>
          <w:tblCellMar>
            <w:top w:w="0" w:type="dxa"/>
            <w:left w:w="0" w:type="dxa"/>
            <w:bottom w:w="0" w:type="dxa"/>
            <w:right w:w="0" w:type="dxa"/>
          </w:tblCellMar>
        </w:tblPrEx>
        <w:trPr>
          <w:trHeight w:val="453" w:hRule="atLeast"/>
        </w:trPr>
        <w:tc>
          <w:tcPr>
            <w:tcW w:w="0" w:type="auto"/>
            <w:gridSpan w:val="6"/>
            <w:tcBorders>
              <w:top w:val="nil"/>
              <w:left w:val="nil"/>
              <w:bottom w:val="nil"/>
              <w:right w:val="nil"/>
            </w:tcBorders>
            <w:shd w:val="clear"/>
            <w:noWrap/>
            <w:tcMar>
              <w:top w:w="15" w:type="dxa"/>
              <w:left w:w="15" w:type="dxa"/>
              <w:right w:w="15" w:type="dxa"/>
            </w:tcMar>
            <w:vAlign w:val="center"/>
          </w:tcPr>
          <w:p>
            <w:pPr>
              <w:widowControl/>
              <w:spacing w:line="240" w:lineRule="auto"/>
              <w:jc w:val="lef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部门：廊坊市霸州市福利彩票发行管理中心（本级）</w:t>
            </w:r>
          </w:p>
        </w:tc>
        <w:tc>
          <w:tcPr>
            <w:tcW w:w="0" w:type="auto"/>
            <w:gridSpan w:val="2"/>
            <w:tcBorders>
              <w:top w:val="nil"/>
              <w:left w:val="nil"/>
              <w:bottom w:val="nil"/>
              <w:right w:val="nil"/>
            </w:tcBorders>
            <w:shd w:val="clear"/>
            <w:noWrap/>
            <w:tcMar>
              <w:top w:w="15" w:type="dxa"/>
              <w:left w:w="15" w:type="dxa"/>
              <w:right w:w="15" w:type="dxa"/>
            </w:tcMar>
            <w:vAlign w:val="center"/>
          </w:tcPr>
          <w:p>
            <w:pPr>
              <w:widowControl/>
              <w:spacing w:line="240" w:lineRule="auto"/>
              <w:jc w:val="right"/>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金额单位：万元</w:t>
            </w:r>
          </w:p>
        </w:tc>
      </w:tr>
      <w:tr>
        <w:tblPrEx>
          <w:tblCellMar>
            <w:top w:w="0" w:type="dxa"/>
            <w:left w:w="0" w:type="dxa"/>
            <w:bottom w:w="0" w:type="dxa"/>
            <w:right w:w="0" w:type="dxa"/>
          </w:tblCellMar>
        </w:tblPrEx>
        <w:trPr>
          <w:trHeight w:val="462" w:hRule="atLeast"/>
        </w:trPr>
        <w:tc>
          <w:tcPr>
            <w:tcW w:w="0" w:type="auto"/>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收     入</w:t>
            </w:r>
          </w:p>
        </w:tc>
        <w:tc>
          <w:tcPr>
            <w:tcW w:w="0" w:type="auto"/>
            <w:gridSpan w:val="5"/>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jc w:val="center"/>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支     出</w:t>
            </w:r>
          </w:p>
        </w:tc>
      </w:tr>
      <w:tr>
        <w:tblPrEx>
          <w:tblCellMar>
            <w:top w:w="0" w:type="dxa"/>
            <w:left w:w="0" w:type="dxa"/>
            <w:bottom w:w="0" w:type="dxa"/>
            <w:right w:w="0" w:type="dxa"/>
          </w:tblCellMar>
        </w:tblPrEx>
        <w:trPr>
          <w:trHeight w:val="312" w:hRule="atLeast"/>
        </w:trPr>
        <w:tc>
          <w:tcPr>
            <w:tcW w:w="2651"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项目</w:t>
            </w:r>
          </w:p>
        </w:tc>
        <w:tc>
          <w:tcPr>
            <w:tcW w:w="356"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行次</w:t>
            </w:r>
          </w:p>
        </w:tc>
        <w:tc>
          <w:tcPr>
            <w:tcW w:w="103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金额</w:t>
            </w:r>
          </w:p>
        </w:tc>
        <w:tc>
          <w:tcPr>
            <w:tcW w:w="3007"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项目</w:t>
            </w:r>
          </w:p>
        </w:tc>
        <w:tc>
          <w:tcPr>
            <w:tcW w:w="356"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行次</w:t>
            </w:r>
          </w:p>
        </w:tc>
        <w:tc>
          <w:tcPr>
            <w:tcW w:w="0" w:type="auto"/>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合计</w:t>
            </w:r>
          </w:p>
        </w:tc>
        <w:tc>
          <w:tcPr>
            <w:tcW w:w="1029"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一般公共预算财政拨款</w:t>
            </w:r>
          </w:p>
        </w:tc>
        <w:tc>
          <w:tcPr>
            <w:tcW w:w="103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政府性基金预算财政拨款</w:t>
            </w:r>
          </w:p>
        </w:tc>
      </w:tr>
      <w:tr>
        <w:tblPrEx>
          <w:tblCellMar>
            <w:top w:w="0" w:type="dxa"/>
            <w:left w:w="0" w:type="dxa"/>
            <w:bottom w:w="0" w:type="dxa"/>
            <w:right w:w="0" w:type="dxa"/>
          </w:tblCellMar>
        </w:tblPrEx>
        <w:trPr>
          <w:trHeight w:val="595" w:hRule="atLeast"/>
        </w:trPr>
        <w:tc>
          <w:tcPr>
            <w:tcW w:w="2651"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35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3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3007"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35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29"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103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栏次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栏次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w:t>
            </w: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一、一般公共预算财政拨款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一、一般公共服务支出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二、政府性基金预算财政拨款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189.27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二、外交支出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三、国防支出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四、公共安全支出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五、教育支出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六、科学技术支出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七、文化旅游体育与传媒支出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八、社会保障和就业支出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九、卫生健康支出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十、节能环保支出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39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十一、城乡社区支出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十二、农林水支出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十三、交通运输支出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十四、资源勘探信息等支出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十五、商业服务业等支出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十六、金融支出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十七、援助其他地区支出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十八、自然资源海洋气象等支出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十九、住房保障支出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二十、粮油物资储备支出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49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二十一、灾害防治及应急管理支出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二十二、其他支出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189.27</w:t>
            </w: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二十四、债务付息支出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本年收入合计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本年支出合计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年初财政拨款结转和结余</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189.27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年末财政拨款结转和结余</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189.27</w:t>
            </w: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一、一般公共预算财政拨款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二、政府性基金预算财政拨款</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56</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57</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总计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总计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58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p>
        </w:tc>
      </w:tr>
      <w:tr>
        <w:tblPrEx>
          <w:tblCellMar>
            <w:top w:w="0" w:type="dxa"/>
            <w:left w:w="0" w:type="dxa"/>
            <w:bottom w:w="0" w:type="dxa"/>
            <w:right w:w="0" w:type="dxa"/>
          </w:tblCellMar>
        </w:tblPrEx>
        <w:trPr>
          <w:trHeight w:val="462" w:hRule="atLeast"/>
        </w:trPr>
        <w:tc>
          <w:tcPr>
            <w:tcW w:w="0" w:type="auto"/>
            <w:gridSpan w:val="8"/>
            <w:tcBorders>
              <w:top w:val="nil"/>
              <w:left w:val="nil"/>
              <w:bottom w:val="nil"/>
              <w:right w:val="nil"/>
            </w:tcBorders>
            <w:shd w:val="clear"/>
            <w:noWrap/>
            <w:tcMar>
              <w:top w:w="15" w:type="dxa"/>
              <w:left w:w="15" w:type="dxa"/>
              <w:right w:w="15" w:type="dxa"/>
            </w:tcMar>
            <w:vAlign w:val="center"/>
          </w:tcPr>
          <w:p>
            <w:pPr>
              <w:widowControl/>
              <w:spacing w:line="240" w:lineRule="auto"/>
              <w:rPr>
                <w:rFonts w:hint="eastAsia" w:hAnsi="宋体" w:asciiTheme="minorEastAsia" w:eastAsiaTheme="minorEastAsia"/>
                <w:color w:val="000000" w:themeColor="text1"/>
                <w:szCs w:val="21"/>
              </w:rPr>
            </w:pPr>
            <w:r>
              <w:rPr>
                <w:rFonts w:hint="eastAsia" w:hAnsi="宋体" w:asciiTheme="minorEastAsia" w:eastAsiaTheme="minorEastAsia"/>
                <w:color w:val="000000" w:themeColor="text1"/>
                <w:szCs w:val="21"/>
                <w:lang w:val="en-US" w:eastAsia="zh-CN"/>
              </w:rPr>
              <w:t>注：本表反映部门本年度一般公共预算财政拨款和政府性基金预算财政拨款的总收支和年末结转结余情况。</w:t>
            </w:r>
          </w:p>
        </w:tc>
      </w:tr>
    </w:tbl>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tbl>
      <w:tblPr>
        <w:tblW w:w="10100" w:type="dxa"/>
        <w:tblInd w:w="0" w:type="dxa"/>
        <w:shd w:val="clear"/>
        <w:tblLayout w:type="autofit"/>
        <w:tblCellMar>
          <w:top w:w="0" w:type="dxa"/>
          <w:left w:w="0" w:type="dxa"/>
          <w:bottom w:w="0" w:type="dxa"/>
          <w:right w:w="0" w:type="dxa"/>
        </w:tblCellMar>
      </w:tblPr>
      <w:tblGrid>
        <w:gridCol w:w="1473"/>
        <w:gridCol w:w="3008"/>
        <w:gridCol w:w="1965"/>
        <w:gridCol w:w="1965"/>
        <w:gridCol w:w="1689"/>
      </w:tblGrid>
      <w:tr>
        <w:tblPrEx>
          <w:shd w:val="clear"/>
          <w:tblCellMar>
            <w:top w:w="0" w:type="dxa"/>
            <w:left w:w="0" w:type="dxa"/>
            <w:bottom w:w="0" w:type="dxa"/>
            <w:right w:w="0" w:type="dxa"/>
          </w:tblCellMar>
        </w:tblPrEx>
        <w:trPr>
          <w:trHeight w:val="754" w:hRule="atLeast"/>
        </w:trPr>
        <w:tc>
          <w:tcPr>
            <w:tcW w:w="10100"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一般公共预算财政拨款支出决算表</w:t>
            </w:r>
          </w:p>
        </w:tc>
      </w:tr>
      <w:tr>
        <w:tblPrEx>
          <w:tblCellMar>
            <w:top w:w="0" w:type="dxa"/>
            <w:left w:w="0" w:type="dxa"/>
            <w:bottom w:w="0" w:type="dxa"/>
            <w:right w:w="0" w:type="dxa"/>
          </w:tblCellMar>
        </w:tblPrEx>
        <w:trPr>
          <w:trHeight w:val="754" w:hRule="atLeast"/>
        </w:trPr>
        <w:tc>
          <w:tcPr>
            <w:tcW w:w="0" w:type="auto"/>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公开05表</w:t>
            </w:r>
          </w:p>
        </w:tc>
      </w:tr>
      <w:tr>
        <w:tblPrEx>
          <w:tblCellMar>
            <w:top w:w="0" w:type="dxa"/>
            <w:left w:w="0" w:type="dxa"/>
            <w:bottom w:w="0" w:type="dxa"/>
            <w:right w:w="0" w:type="dxa"/>
          </w:tblCellMar>
        </w:tblPrEx>
        <w:trPr>
          <w:trHeight w:val="754" w:hRule="atLeast"/>
        </w:trPr>
        <w:tc>
          <w:tcPr>
            <w:tcW w:w="0" w:type="auto"/>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0" w:type="auto"/>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763"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6307" w:type="dxa"/>
            <w:gridSpan w:val="3"/>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r>
      <w:tr>
        <w:tblPrEx>
          <w:tblCellMar>
            <w:top w:w="0" w:type="dxa"/>
            <w:left w:w="0" w:type="dxa"/>
            <w:bottom w:w="0" w:type="dxa"/>
            <w:right w:w="0" w:type="dxa"/>
          </w:tblCellMar>
        </w:tblPrEx>
        <w:trPr>
          <w:trHeight w:val="315" w:hRule="atLeast"/>
        </w:trPr>
        <w:tc>
          <w:tcPr>
            <w:tcW w:w="1168"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2151"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2151"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200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tblCellMar>
            <w:top w:w="0" w:type="dxa"/>
            <w:left w:w="0" w:type="dxa"/>
            <w:bottom w:w="0" w:type="dxa"/>
            <w:right w:w="0" w:type="dxa"/>
          </w:tblCellMar>
        </w:tblPrEx>
        <w:trPr>
          <w:trHeight w:val="312" w:hRule="atLeast"/>
        </w:trPr>
        <w:tc>
          <w:tcPr>
            <w:tcW w:w="116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0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53" w:hRule="atLeast"/>
        </w:trPr>
        <w:tc>
          <w:tcPr>
            <w:tcW w:w="116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51"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0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3" w:hRule="atLeast"/>
        </w:trPr>
        <w:tc>
          <w:tcPr>
            <w:tcW w:w="0" w:type="auto"/>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CellMar>
            <w:top w:w="0" w:type="dxa"/>
            <w:left w:w="0" w:type="dxa"/>
            <w:bottom w:w="0" w:type="dxa"/>
            <w:right w:w="0" w:type="dxa"/>
          </w:tblCellMar>
        </w:tblPrEx>
        <w:trPr>
          <w:trHeight w:val="763" w:hRule="atLeast"/>
        </w:trPr>
        <w:tc>
          <w:tcPr>
            <w:tcW w:w="0" w:type="auto"/>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763"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63"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民政管理事务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73"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2080201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行政运行</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p>
      <w:pPr>
        <w:widowControl/>
        <w:spacing w:line="240" w:lineRule="auto"/>
        <w:rPr>
          <w:rFonts w:hint="eastAsia" w:hAnsi="宋体" w:asciiTheme="minorEastAsia" w:eastAsiaTheme="minorEastAsia"/>
          <w:color w:val="000000" w:themeColor="text1"/>
          <w:szCs w:val="21"/>
        </w:rPr>
      </w:pPr>
    </w:p>
    <w:tbl>
      <w:tblPr>
        <w:tblW w:w="9900" w:type="dxa"/>
        <w:tblInd w:w="0" w:type="dxa"/>
        <w:shd w:val="clear"/>
        <w:tblLayout w:type="fixed"/>
        <w:tblCellMar>
          <w:top w:w="0" w:type="dxa"/>
          <w:left w:w="0" w:type="dxa"/>
          <w:bottom w:w="0" w:type="dxa"/>
          <w:right w:w="0" w:type="dxa"/>
        </w:tblCellMar>
      </w:tblPr>
      <w:tblGrid>
        <w:gridCol w:w="718"/>
        <w:gridCol w:w="613"/>
        <w:gridCol w:w="856"/>
        <w:gridCol w:w="846"/>
        <w:gridCol w:w="1088"/>
        <w:gridCol w:w="1988"/>
        <w:gridCol w:w="1334"/>
        <w:gridCol w:w="1488"/>
        <w:gridCol w:w="969"/>
      </w:tblGrid>
      <w:tr>
        <w:tblPrEx>
          <w:shd w:val="clear"/>
          <w:tblCellMar>
            <w:top w:w="0" w:type="dxa"/>
            <w:left w:w="0" w:type="dxa"/>
            <w:bottom w:w="0" w:type="dxa"/>
            <w:right w:w="0" w:type="dxa"/>
          </w:tblCellMar>
        </w:tblPrEx>
        <w:trPr>
          <w:trHeight w:val="23" w:hRule="atLeast"/>
        </w:trPr>
        <w:tc>
          <w:tcPr>
            <w:tcW w:w="990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一般公共预算财政拨款基本支出决算表</w:t>
            </w:r>
          </w:p>
        </w:tc>
      </w:tr>
      <w:tr>
        <w:tblPrEx>
          <w:tblCellMar>
            <w:top w:w="0" w:type="dxa"/>
            <w:left w:w="0" w:type="dxa"/>
            <w:bottom w:w="0" w:type="dxa"/>
            <w:right w:w="0" w:type="dxa"/>
          </w:tblCellMar>
        </w:tblPrEx>
        <w:trPr>
          <w:trHeight w:val="23" w:hRule="atLeast"/>
        </w:trPr>
        <w:tc>
          <w:tcPr>
            <w:tcW w:w="9900" w:type="dxa"/>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公开06表</w:t>
            </w:r>
          </w:p>
        </w:tc>
      </w:tr>
      <w:tr>
        <w:tblPrEx>
          <w:tblCellMar>
            <w:top w:w="0" w:type="dxa"/>
            <w:left w:w="0" w:type="dxa"/>
            <w:bottom w:w="0" w:type="dxa"/>
            <w:right w:w="0" w:type="dxa"/>
          </w:tblCellMar>
        </w:tblPrEx>
        <w:trPr>
          <w:trHeight w:val="23" w:hRule="atLeast"/>
        </w:trPr>
        <w:tc>
          <w:tcPr>
            <w:tcW w:w="7443"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2457"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金额单位：万元</w:t>
            </w:r>
          </w:p>
        </w:tc>
      </w:tr>
      <w:tr>
        <w:tblPrEx>
          <w:tblCellMar>
            <w:top w:w="0" w:type="dxa"/>
            <w:left w:w="0" w:type="dxa"/>
            <w:bottom w:w="0" w:type="dxa"/>
            <w:right w:w="0" w:type="dxa"/>
          </w:tblCellMar>
        </w:tblPrEx>
        <w:trPr>
          <w:trHeight w:val="23" w:hRule="atLeast"/>
        </w:trPr>
        <w:tc>
          <w:tcPr>
            <w:tcW w:w="2187" w:type="dxa"/>
            <w:gridSpan w:val="3"/>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w:t>
            </w:r>
          </w:p>
        </w:tc>
        <w:tc>
          <w:tcPr>
            <w:tcW w:w="7713" w:type="dxa"/>
            <w:gridSpan w:val="6"/>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w:t>
            </w:r>
          </w:p>
        </w:tc>
      </w:tr>
      <w:tr>
        <w:tblPrEx>
          <w:tblCellMar>
            <w:top w:w="0" w:type="dxa"/>
            <w:left w:w="0" w:type="dxa"/>
            <w:bottom w:w="0" w:type="dxa"/>
            <w:right w:w="0" w:type="dxa"/>
          </w:tblCellMar>
        </w:tblPrEx>
        <w:trPr>
          <w:trHeight w:val="312" w:hRule="atLeast"/>
        </w:trPr>
        <w:tc>
          <w:tcPr>
            <w:tcW w:w="718"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613"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856"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846"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1088"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988"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c>
          <w:tcPr>
            <w:tcW w:w="1334"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科目编码</w:t>
            </w:r>
          </w:p>
        </w:tc>
        <w:tc>
          <w:tcPr>
            <w:tcW w:w="1488"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969"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tblCellMar>
            <w:top w:w="0" w:type="dxa"/>
            <w:left w:w="0" w:type="dxa"/>
            <w:bottom w:w="0" w:type="dxa"/>
            <w:right w:w="0" w:type="dxa"/>
          </w:tblCellMar>
        </w:tblPrEx>
        <w:trPr>
          <w:trHeight w:val="312" w:hRule="atLeast"/>
        </w:trPr>
        <w:tc>
          <w:tcPr>
            <w:tcW w:w="718"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3"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5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8"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8"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34"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8"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9"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工资福利支出</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2.08</w:t>
            </w: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商品和服务支出</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债务利息及费用支出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30101</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基本工资</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30201</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30701</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国内债务付息</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30102</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津贴补贴</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30202</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印刷费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30702</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国外债务付息</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30103</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奖金</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30203</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咨询费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资本性支出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30106</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伙食补助费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30204</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手续费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31001</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房屋建筑物购建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30107</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绩效工资</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30205</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水费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31002</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办公设备购置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44"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30108</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机关事业单位基本养老保险缴费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30206</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电费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31003</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专用设备购置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30109</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职业年金缴费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30207</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邮电费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31005</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基础设施建设</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30110</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职工基本医疗保险缴费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30208</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取暖费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31006</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大型修缮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30111</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公务员医疗补助缴费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30209</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物业管理费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31007</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信息网络及软件购置更新</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30112</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其他社会保障缴费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30211</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差旅费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31008</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物资储备</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30113</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住房公积金</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30212</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因公出国（境）费用</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31009</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土地补偿</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30114</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30213</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维修（护）费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31010</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安置补助</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30199</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其他工资福利支出</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30214</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租赁费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31011</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地上附着物和青苗补偿</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对个人和家庭的补助</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30215</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会议费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31012</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拆迁补偿</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30301</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离休费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30216</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培训费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31013</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30302</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退休费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公务接待费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31019</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其他交通工具购置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30303</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退职（役）费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30218</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专用材料费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31021</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文物和陈列品购置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30304</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抚恤金</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30224</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被装购置费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31022</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无形资产购置</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30305</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生活补助</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30225</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专用燃料费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31099</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其他资本性支出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30306</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救济费</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30226</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劳务费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30307</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医疗费补助</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30227</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委托业务费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39906</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赠与</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30308</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助学金</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30228</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工会经费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39907</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国家赔偿费用支出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30309</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奖励金</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30229</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福利费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39908</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对民间非营利组织和群众性自治组织补贴</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30310</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个人农业生产补贴</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30231</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公务用车运行维护费</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39999</w:t>
            </w: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其他支出</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30399</w:t>
            </w: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其他对个人和家庭的补助</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30239</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其他交通费用</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30240</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税金及附加费用</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718"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13"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30299</w:t>
            </w:r>
          </w:p>
        </w:tc>
        <w:tc>
          <w:tcPr>
            <w:tcW w:w="10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其他商品和服务支出</w:t>
            </w:r>
          </w:p>
        </w:tc>
        <w:tc>
          <w:tcPr>
            <w:tcW w:w="19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34"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88"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1331"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人员经费合计</w:t>
            </w:r>
          </w:p>
        </w:tc>
        <w:tc>
          <w:tcPr>
            <w:tcW w:w="856"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744" w:type="dxa"/>
            <w:gridSpan w:val="5"/>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公用经费合计</w:t>
            </w:r>
          </w:p>
        </w:tc>
        <w:tc>
          <w:tcPr>
            <w:tcW w:w="96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3" w:hRule="atLeast"/>
        </w:trPr>
        <w:tc>
          <w:tcPr>
            <w:tcW w:w="9900" w:type="dxa"/>
            <w:gridSpan w:val="9"/>
            <w:tcBorders>
              <w:top w:val="nil"/>
              <w:left w:val="nil"/>
              <w:bottom w:val="nil"/>
              <w:right w:val="nil"/>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tbl>
      <w:tblPr>
        <w:tblW w:w="10020" w:type="dxa"/>
        <w:tblInd w:w="0" w:type="dxa"/>
        <w:shd w:val="clear"/>
        <w:tblLayout w:type="autofit"/>
        <w:tblCellMar>
          <w:top w:w="0" w:type="dxa"/>
          <w:left w:w="0" w:type="dxa"/>
          <w:bottom w:w="0" w:type="dxa"/>
          <w:right w:w="0" w:type="dxa"/>
        </w:tblCellMar>
      </w:tblPr>
      <w:tblGrid>
        <w:gridCol w:w="835"/>
        <w:gridCol w:w="835"/>
        <w:gridCol w:w="835"/>
        <w:gridCol w:w="835"/>
        <w:gridCol w:w="835"/>
        <w:gridCol w:w="835"/>
        <w:gridCol w:w="835"/>
        <w:gridCol w:w="835"/>
        <w:gridCol w:w="835"/>
        <w:gridCol w:w="835"/>
        <w:gridCol w:w="835"/>
        <w:gridCol w:w="835"/>
      </w:tblGrid>
      <w:tr>
        <w:tblPrEx>
          <w:shd w:val="clear"/>
          <w:tblCellMar>
            <w:top w:w="0" w:type="dxa"/>
            <w:left w:w="0" w:type="dxa"/>
            <w:bottom w:w="0" w:type="dxa"/>
            <w:right w:w="0" w:type="dxa"/>
          </w:tblCellMar>
        </w:tblPrEx>
        <w:trPr>
          <w:trHeight w:val="794" w:hRule="atLeast"/>
        </w:trPr>
        <w:tc>
          <w:tcPr>
            <w:tcW w:w="10020" w:type="dxa"/>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一般公共预算财政拨款“三公”经费支出决算表</w:t>
            </w:r>
          </w:p>
        </w:tc>
      </w:tr>
      <w:tr>
        <w:tblPrEx>
          <w:tblCellMar>
            <w:top w:w="0" w:type="dxa"/>
            <w:left w:w="0" w:type="dxa"/>
            <w:bottom w:w="0" w:type="dxa"/>
            <w:right w:w="0" w:type="dxa"/>
          </w:tblCellMar>
        </w:tblPrEx>
        <w:trPr>
          <w:trHeight w:val="794" w:hRule="atLeast"/>
        </w:trPr>
        <w:tc>
          <w:tcPr>
            <w:tcW w:w="0" w:type="auto"/>
            <w:gridSpan w:val="1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公开07表</w:t>
            </w:r>
          </w:p>
        </w:tc>
      </w:tr>
      <w:tr>
        <w:tblPrEx>
          <w:tblCellMar>
            <w:top w:w="0" w:type="dxa"/>
            <w:left w:w="0" w:type="dxa"/>
            <w:bottom w:w="0" w:type="dxa"/>
            <w:right w:w="0" w:type="dxa"/>
          </w:tblCellMar>
        </w:tblPrEx>
        <w:trPr>
          <w:trHeight w:val="794" w:hRule="atLeast"/>
        </w:trPr>
        <w:tc>
          <w:tcPr>
            <w:tcW w:w="0" w:type="auto"/>
            <w:gridSpan w:val="9"/>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0" w:type="auto"/>
            <w:gridSpan w:val="3"/>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804" w:hRule="atLeast"/>
        </w:trPr>
        <w:tc>
          <w:tcPr>
            <w:tcW w:w="5010" w:type="dxa"/>
            <w:gridSpan w:val="6"/>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预算数</w:t>
            </w:r>
          </w:p>
        </w:tc>
        <w:tc>
          <w:tcPr>
            <w:tcW w:w="5010" w:type="dxa"/>
            <w:gridSpan w:val="6"/>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决算数</w:t>
            </w:r>
          </w:p>
        </w:tc>
      </w:tr>
      <w:tr>
        <w:tblPrEx>
          <w:tblCellMar>
            <w:top w:w="0" w:type="dxa"/>
            <w:left w:w="0" w:type="dxa"/>
            <w:bottom w:w="0" w:type="dxa"/>
            <w:right w:w="0" w:type="dxa"/>
          </w:tblCellMar>
        </w:tblPrEx>
        <w:trPr>
          <w:trHeight w:val="804" w:hRule="atLeast"/>
        </w:trPr>
        <w:tc>
          <w:tcPr>
            <w:tcW w:w="835"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83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2505" w:type="dxa"/>
            <w:gridSpan w:val="3"/>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83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c>
          <w:tcPr>
            <w:tcW w:w="83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83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因公出国（境）费</w:t>
            </w:r>
          </w:p>
        </w:tc>
        <w:tc>
          <w:tcPr>
            <w:tcW w:w="2505" w:type="dxa"/>
            <w:gridSpan w:val="3"/>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公务用车购置及运行费</w:t>
            </w:r>
          </w:p>
        </w:tc>
        <w:tc>
          <w:tcPr>
            <w:tcW w:w="83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公务接待费</w:t>
            </w:r>
          </w:p>
        </w:tc>
      </w:tr>
      <w:tr>
        <w:tblPrEx>
          <w:tblCellMar>
            <w:top w:w="0" w:type="dxa"/>
            <w:left w:w="0" w:type="dxa"/>
            <w:bottom w:w="0" w:type="dxa"/>
            <w:right w:w="0" w:type="dxa"/>
          </w:tblCellMar>
        </w:tblPrEx>
        <w:trPr>
          <w:trHeight w:val="2043" w:hRule="atLeast"/>
        </w:trPr>
        <w:tc>
          <w:tcPr>
            <w:tcW w:w="835"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83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公务用车购置费</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公务用车运行费</w:t>
            </w:r>
          </w:p>
        </w:tc>
        <w:tc>
          <w:tcPr>
            <w:tcW w:w="83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4" w:hRule="atLeast"/>
        </w:trPr>
        <w:tc>
          <w:tcPr>
            <w:tcW w:w="835"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835" w:type="dxa"/>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r>
      <w:tr>
        <w:tblPrEx>
          <w:tblCellMar>
            <w:top w:w="0" w:type="dxa"/>
            <w:left w:w="0" w:type="dxa"/>
            <w:bottom w:w="0" w:type="dxa"/>
            <w:right w:w="0" w:type="dxa"/>
          </w:tblCellMar>
        </w:tblPrEx>
        <w:trPr>
          <w:trHeight w:val="345"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bookmarkStart w:id="1" w:name="_GoBack"/>
      <w:bookmarkEnd w:id="1"/>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tbl>
      <w:tblPr>
        <w:tblW w:w="9900" w:type="dxa"/>
        <w:tblInd w:w="0" w:type="dxa"/>
        <w:shd w:val="clear"/>
        <w:tblLayout w:type="autofit"/>
        <w:tblCellMar>
          <w:top w:w="0" w:type="dxa"/>
          <w:left w:w="0" w:type="dxa"/>
          <w:bottom w:w="0" w:type="dxa"/>
          <w:right w:w="0" w:type="dxa"/>
        </w:tblCellMar>
      </w:tblPr>
      <w:tblGrid>
        <w:gridCol w:w="800"/>
        <w:gridCol w:w="3550"/>
        <w:gridCol w:w="911"/>
        <w:gridCol w:w="588"/>
        <w:gridCol w:w="911"/>
        <w:gridCol w:w="1065"/>
        <w:gridCol w:w="1010"/>
        <w:gridCol w:w="1066"/>
      </w:tblGrid>
      <w:tr>
        <w:tblPrEx>
          <w:shd w:val="clear"/>
          <w:tblCellMar>
            <w:top w:w="0" w:type="dxa"/>
            <w:left w:w="0" w:type="dxa"/>
            <w:bottom w:w="0" w:type="dxa"/>
            <w:right w:w="0" w:type="dxa"/>
          </w:tblCellMar>
        </w:tblPrEx>
        <w:trPr>
          <w:trHeight w:val="550" w:hRule="atLeast"/>
        </w:trPr>
        <w:tc>
          <w:tcPr>
            <w:tcW w:w="9900" w:type="dxa"/>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bdr w:val="none" w:color="auto" w:sz="0" w:space="0"/>
                <w:lang w:val="en-US" w:eastAsia="zh-CN" w:bidi="ar"/>
              </w:rPr>
              <w:t>政府性基金预算财政拨款收入支出决算表</w:t>
            </w:r>
          </w:p>
        </w:tc>
      </w:tr>
      <w:tr>
        <w:tblPrEx>
          <w:tblCellMar>
            <w:top w:w="0" w:type="dxa"/>
            <w:left w:w="0" w:type="dxa"/>
            <w:bottom w:w="0" w:type="dxa"/>
            <w:right w:w="0" w:type="dxa"/>
          </w:tblCellMar>
        </w:tblPrEx>
        <w:trPr>
          <w:trHeight w:val="550" w:hRule="atLeast"/>
        </w:trPr>
        <w:tc>
          <w:tcPr>
            <w:tcW w:w="0" w:type="auto"/>
            <w:gridSpan w:val="8"/>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公开08表</w:t>
            </w:r>
          </w:p>
        </w:tc>
      </w:tr>
      <w:tr>
        <w:tblPrEx>
          <w:tblCellMar>
            <w:top w:w="0" w:type="dxa"/>
            <w:left w:w="0" w:type="dxa"/>
            <w:bottom w:w="0" w:type="dxa"/>
            <w:right w:w="0" w:type="dxa"/>
          </w:tblCellMar>
        </w:tblPrEx>
        <w:trPr>
          <w:trHeight w:val="550" w:hRule="atLeast"/>
        </w:trPr>
        <w:tc>
          <w:tcPr>
            <w:tcW w:w="0" w:type="auto"/>
            <w:gridSpan w:val="6"/>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0" w:type="auto"/>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550" w:hRule="atLeast"/>
        </w:trPr>
        <w:tc>
          <w:tcPr>
            <w:tcW w:w="0" w:type="auto"/>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w:t>
            </w:r>
          </w:p>
        </w:tc>
        <w:tc>
          <w:tcPr>
            <w:tcW w:w="962"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年初结转和结余</w:t>
            </w:r>
          </w:p>
        </w:tc>
        <w:tc>
          <w:tcPr>
            <w:tcW w:w="862"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本年收入</w:t>
            </w:r>
          </w:p>
        </w:tc>
        <w:tc>
          <w:tcPr>
            <w:tcW w:w="3037" w:type="dxa"/>
            <w:gridSpan w:val="3"/>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c>
          <w:tcPr>
            <w:tcW w:w="1066"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年末结转和结余</w:t>
            </w:r>
          </w:p>
        </w:tc>
      </w:tr>
      <w:tr>
        <w:tblPrEx>
          <w:tblCellMar>
            <w:top w:w="0" w:type="dxa"/>
            <w:left w:w="0" w:type="dxa"/>
            <w:bottom w:w="0" w:type="dxa"/>
            <w:right w:w="0" w:type="dxa"/>
          </w:tblCellMar>
        </w:tblPrEx>
        <w:trPr>
          <w:trHeight w:val="312" w:hRule="atLeast"/>
        </w:trPr>
        <w:tc>
          <w:tcPr>
            <w:tcW w:w="799" w:type="dxa"/>
            <w:vMerge w:val="restart"/>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9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2"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1065"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1010" w:type="dxa"/>
            <w:vMerge w:val="restart"/>
            <w:tcBorders>
              <w:top w:val="nil"/>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c>
          <w:tcPr>
            <w:tcW w:w="106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799"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799" w:type="dxa"/>
            <w:vMerge w:val="continue"/>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62"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0"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6" w:type="dxa"/>
            <w:vMerge w:val="continue"/>
            <w:tcBorders>
              <w:top w:val="nil"/>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56" w:hRule="atLeast"/>
        </w:trPr>
        <w:tc>
          <w:tcPr>
            <w:tcW w:w="0" w:type="auto"/>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r>
      <w:tr>
        <w:tblPrEx>
          <w:tblCellMar>
            <w:top w:w="0" w:type="dxa"/>
            <w:left w:w="0" w:type="dxa"/>
            <w:bottom w:w="0" w:type="dxa"/>
            <w:right w:w="0" w:type="dxa"/>
          </w:tblCellMar>
        </w:tblPrEx>
        <w:trPr>
          <w:trHeight w:val="556" w:hRule="atLeast"/>
        </w:trPr>
        <w:tc>
          <w:tcPr>
            <w:tcW w:w="0" w:type="auto"/>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143.53</w:t>
            </w:r>
          </w:p>
        </w:tc>
      </w:tr>
      <w:tr>
        <w:tblPrEx>
          <w:tblCellMar>
            <w:top w:w="0" w:type="dxa"/>
            <w:left w:w="0" w:type="dxa"/>
            <w:bottom w:w="0" w:type="dxa"/>
            <w:right w:w="0" w:type="dxa"/>
          </w:tblCellMar>
        </w:tblPrEx>
        <w:trPr>
          <w:trHeight w:val="556"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143.53</w:t>
            </w:r>
          </w:p>
        </w:tc>
      </w:tr>
      <w:tr>
        <w:tblPrEx>
          <w:tblCellMar>
            <w:top w:w="0" w:type="dxa"/>
            <w:left w:w="0" w:type="dxa"/>
            <w:bottom w:w="0" w:type="dxa"/>
            <w:right w:w="0" w:type="dxa"/>
          </w:tblCellMar>
        </w:tblPrEx>
        <w:trPr>
          <w:trHeight w:val="556"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彩票发行销售机构业务费安排的支出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143.53</w:t>
            </w:r>
          </w:p>
        </w:tc>
      </w:tr>
      <w:tr>
        <w:tblPrEx>
          <w:tblCellMar>
            <w:top w:w="0" w:type="dxa"/>
            <w:left w:w="0" w:type="dxa"/>
            <w:bottom w:w="0" w:type="dxa"/>
            <w:right w:w="0" w:type="dxa"/>
          </w:tblCellMar>
        </w:tblPrEx>
        <w:trPr>
          <w:trHeight w:val="556"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2290804</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福利彩票销售机构的业务费支出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176.73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33.20</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143.53</w:t>
            </w:r>
          </w:p>
        </w:tc>
      </w:tr>
      <w:tr>
        <w:tblPrEx>
          <w:tblCellMar>
            <w:top w:w="0" w:type="dxa"/>
            <w:left w:w="0" w:type="dxa"/>
            <w:bottom w:w="0" w:type="dxa"/>
            <w:right w:w="0" w:type="dxa"/>
          </w:tblCellMar>
        </w:tblPrEx>
        <w:trPr>
          <w:trHeight w:val="563" w:hRule="atLeast"/>
        </w:trPr>
        <w:tc>
          <w:tcPr>
            <w:tcW w:w="0" w:type="auto"/>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2290808</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 xml:space="preserve">  彩票市场调控资金支出</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0.03</w:t>
            </w: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lang w:eastAsia="zh-CN"/>
        </w:rPr>
      </w:pPr>
    </w:p>
    <w:tbl>
      <w:tblPr>
        <w:tblW w:w="10000" w:type="dxa"/>
        <w:tblInd w:w="0" w:type="dxa"/>
        <w:shd w:val="clear"/>
        <w:tblLayout w:type="autofit"/>
        <w:tblCellMar>
          <w:top w:w="0" w:type="dxa"/>
          <w:left w:w="0" w:type="dxa"/>
          <w:bottom w:w="0" w:type="dxa"/>
          <w:right w:w="0" w:type="dxa"/>
        </w:tblCellMar>
      </w:tblPr>
      <w:tblGrid>
        <w:gridCol w:w="1999"/>
        <w:gridCol w:w="2000"/>
        <w:gridCol w:w="1999"/>
        <w:gridCol w:w="2001"/>
        <w:gridCol w:w="2001"/>
      </w:tblGrid>
      <w:tr>
        <w:tblPrEx>
          <w:shd w:val="clear"/>
          <w:tblCellMar>
            <w:top w:w="0" w:type="dxa"/>
            <w:left w:w="0" w:type="dxa"/>
            <w:bottom w:w="0" w:type="dxa"/>
            <w:right w:w="0" w:type="dxa"/>
          </w:tblCellMar>
        </w:tblPrEx>
        <w:trPr>
          <w:trHeight w:val="385" w:hRule="atLeast"/>
        </w:trPr>
        <w:tc>
          <w:tcPr>
            <w:tcW w:w="10000"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国有资本经营预算财政拨款支出决算表</w:t>
            </w:r>
          </w:p>
        </w:tc>
      </w:tr>
      <w:tr>
        <w:tblPrEx>
          <w:tblCellMar>
            <w:top w:w="0" w:type="dxa"/>
            <w:left w:w="0" w:type="dxa"/>
            <w:bottom w:w="0" w:type="dxa"/>
            <w:right w:w="0" w:type="dxa"/>
          </w:tblCellMar>
        </w:tblPrEx>
        <w:trPr>
          <w:trHeight w:val="385" w:hRule="atLeast"/>
        </w:trPr>
        <w:tc>
          <w:tcPr>
            <w:tcW w:w="10000" w:type="dxa"/>
            <w:gridSpan w:val="5"/>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公开09表</w:t>
            </w:r>
          </w:p>
        </w:tc>
      </w:tr>
      <w:tr>
        <w:tblPrEx>
          <w:tblCellMar>
            <w:top w:w="0" w:type="dxa"/>
            <w:left w:w="0" w:type="dxa"/>
            <w:bottom w:w="0" w:type="dxa"/>
            <w:right w:w="0" w:type="dxa"/>
          </w:tblCellMar>
        </w:tblPrEx>
        <w:trPr>
          <w:trHeight w:val="385" w:hRule="atLeast"/>
        </w:trPr>
        <w:tc>
          <w:tcPr>
            <w:tcW w:w="7999" w:type="dxa"/>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部门：廊坊市霸州市福利彩票发行管理中心（本级）</w:t>
            </w:r>
          </w:p>
        </w:tc>
        <w:tc>
          <w:tcPr>
            <w:tcW w:w="2001" w:type="dxa"/>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金额单位：万元</w:t>
            </w:r>
          </w:p>
        </w:tc>
      </w:tr>
      <w:tr>
        <w:tblPrEx>
          <w:tblCellMar>
            <w:top w:w="0" w:type="dxa"/>
            <w:left w:w="0" w:type="dxa"/>
            <w:bottom w:w="0" w:type="dxa"/>
            <w:right w:w="0" w:type="dxa"/>
          </w:tblCellMar>
        </w:tblPrEx>
        <w:trPr>
          <w:trHeight w:val="390" w:hRule="atLeast"/>
        </w:trPr>
        <w:tc>
          <w:tcPr>
            <w:tcW w:w="3999"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w:t>
            </w:r>
          </w:p>
        </w:tc>
        <w:tc>
          <w:tcPr>
            <w:tcW w:w="6001" w:type="dxa"/>
            <w:gridSpan w:val="3"/>
            <w:tcBorders>
              <w:top w:val="single" w:color="000000" w:sz="4" w:space="0"/>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本年支出</w:t>
            </w:r>
          </w:p>
        </w:tc>
      </w:tr>
      <w:tr>
        <w:tblPrEx>
          <w:tblCellMar>
            <w:top w:w="0" w:type="dxa"/>
            <w:left w:w="0" w:type="dxa"/>
            <w:bottom w:w="0" w:type="dxa"/>
            <w:right w:w="0" w:type="dxa"/>
          </w:tblCellMar>
        </w:tblPrEx>
        <w:trPr>
          <w:trHeight w:val="390" w:hRule="atLeast"/>
        </w:trPr>
        <w:tc>
          <w:tcPr>
            <w:tcW w:w="1999"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功能分类科目编码</w:t>
            </w:r>
          </w:p>
        </w:tc>
        <w:tc>
          <w:tcPr>
            <w:tcW w:w="2000"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科目名称</w:t>
            </w:r>
          </w:p>
        </w:tc>
        <w:tc>
          <w:tcPr>
            <w:tcW w:w="19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小计</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基本支出</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项目支出</w:t>
            </w:r>
          </w:p>
        </w:tc>
      </w:tr>
      <w:tr>
        <w:tblPrEx>
          <w:tblCellMar>
            <w:top w:w="0" w:type="dxa"/>
            <w:left w:w="0" w:type="dxa"/>
            <w:bottom w:w="0" w:type="dxa"/>
            <w:right w:w="0" w:type="dxa"/>
          </w:tblCellMar>
        </w:tblPrEx>
        <w:trPr>
          <w:trHeight w:val="390" w:hRule="atLeast"/>
        </w:trPr>
        <w:tc>
          <w:tcPr>
            <w:tcW w:w="3999"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栏次</w:t>
            </w:r>
          </w:p>
        </w:tc>
        <w:tc>
          <w:tcPr>
            <w:tcW w:w="19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r>
      <w:tr>
        <w:tblPrEx>
          <w:tblCellMar>
            <w:top w:w="0" w:type="dxa"/>
            <w:left w:w="0" w:type="dxa"/>
            <w:bottom w:w="0" w:type="dxa"/>
            <w:right w:w="0" w:type="dxa"/>
          </w:tblCellMar>
        </w:tblPrEx>
        <w:trPr>
          <w:trHeight w:val="390" w:hRule="atLeast"/>
        </w:trPr>
        <w:tc>
          <w:tcPr>
            <w:tcW w:w="3999" w:type="dxa"/>
            <w:gridSpan w:val="2"/>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合计</w:t>
            </w:r>
          </w:p>
        </w:tc>
        <w:tc>
          <w:tcPr>
            <w:tcW w:w="19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176.76</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33.20</w:t>
            </w: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13.30</w:t>
            </w:r>
          </w:p>
        </w:tc>
      </w:tr>
      <w:tr>
        <w:tblPrEx>
          <w:tblCellMar>
            <w:top w:w="0" w:type="dxa"/>
            <w:left w:w="0" w:type="dxa"/>
            <w:bottom w:w="0" w:type="dxa"/>
            <w:right w:w="0" w:type="dxa"/>
          </w:tblCellMar>
        </w:tblPrEx>
        <w:trPr>
          <w:trHeight w:val="246" w:hRule="atLeast"/>
        </w:trPr>
        <w:tc>
          <w:tcPr>
            <w:tcW w:w="1999" w:type="dxa"/>
            <w:tcBorders>
              <w:top w:val="nil"/>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00" w:type="dxa"/>
            <w:tcBorders>
              <w:top w:val="nil"/>
              <w:left w:val="nil"/>
              <w:bottom w:val="single" w:color="000000" w:sz="4" w:space="0"/>
              <w:right w:val="single" w:color="000000" w:sz="4" w:space="0"/>
            </w:tcBorders>
            <w:shd w:val="clear"/>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999"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001" w:type="dxa"/>
            <w:tcBorders>
              <w:top w:val="nil"/>
              <w:left w:val="nil"/>
              <w:bottom w:val="single" w:color="000000" w:sz="4" w:space="0"/>
              <w:right w:val="single" w:color="000000" w:sz="4" w:space="0"/>
            </w:tcBorders>
            <w:shd w:val="clear"/>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widowControl/>
        <w:spacing w:line="240" w:lineRule="auto"/>
        <w:rPr>
          <w:rFonts w:hint="eastAsia" w:hAnsi="宋体" w:asciiTheme="minorEastAsia" w:eastAsiaTheme="minorEastAsia"/>
          <w:color w:val="000000" w:themeColor="text1"/>
          <w:szCs w:val="21"/>
          <w:lang w:eastAsia="zh-CN"/>
        </w:rPr>
      </w:pPr>
    </w:p>
    <w:p>
      <w:pPr>
        <w:widowControl/>
        <w:spacing w:line="240" w:lineRule="auto"/>
        <w:rPr>
          <w:rFonts w:hint="eastAsia" w:hAnsi="宋体" w:asciiTheme="minorEastAsia" w:eastAsiaTheme="minorEastAsia"/>
          <w:color w:val="000000" w:themeColor="text1"/>
          <w:szCs w:val="21"/>
        </w:rPr>
      </w:pPr>
    </w:p>
    <w:sectPr>
      <w:pgSz w:w="11906" w:h="16838"/>
      <w:pgMar w:top="2098" w:right="1474" w:bottom="198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06D5F57-54A6-45E1-86CB-5B15DEB2B15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BEE0FE0-D67B-41A9-8068-DA5666BC088C}"/>
  </w:font>
  <w:font w:name="Cambria">
    <w:panose1 w:val="02040503050406030204"/>
    <w:charset w:val="00"/>
    <w:family w:val="roman"/>
    <w:pitch w:val="default"/>
    <w:sig w:usb0="E00002FF" w:usb1="400004FF" w:usb2="00000000" w:usb3="00000000" w:csb0="2000019F" w:csb1="00000000"/>
    <w:embedRegular r:id="rId3" w:fontKey="{7CD9451B-9C83-4F29-BEA2-95605CCACE30}"/>
  </w:font>
  <w:font w:name="楷体">
    <w:panose1 w:val="02010609060101010101"/>
    <w:charset w:val="86"/>
    <w:family w:val="modern"/>
    <w:pitch w:val="default"/>
    <w:sig w:usb0="800002BF" w:usb1="38CF7CFA" w:usb2="00000016" w:usb3="00000000" w:csb0="00040001" w:csb1="00000000"/>
    <w:embedRegular r:id="rId4" w:fontKey="{5CEAFF5C-5A07-4418-BD48-A7F3367B13F7}"/>
  </w:font>
  <w:font w:name="楷体_GB2312">
    <w:panose1 w:val="02010609030101010101"/>
    <w:charset w:val="86"/>
    <w:family w:val="modern"/>
    <w:pitch w:val="default"/>
    <w:sig w:usb0="00000000" w:usb1="00000000" w:usb2="00000000" w:usb3="00000000" w:csb0="00000000" w:csb1="00000000"/>
    <w:embedRegular r:id="rId5" w:fontKey="{75A34692-D9AE-430C-B10E-5CF54145115D}"/>
  </w:font>
  <w:font w:name="仿宋_GB2312">
    <w:panose1 w:val="02010609030101010101"/>
    <w:charset w:val="86"/>
    <w:family w:val="modern"/>
    <w:pitch w:val="default"/>
    <w:sig w:usb0="00000000" w:usb1="00000000" w:usb2="00000000" w:usb3="00000000" w:csb0="00000000" w:csb1="00000000"/>
    <w:embedRegular r:id="rId6" w:fontKey="{2A3533DE-8003-4721-B972-07E412BC7F11}"/>
  </w:font>
  <w:font w:name="ArialUnicodeMS">
    <w:altName w:val="Malgun Gothic"/>
    <w:panose1 w:val="00000000000000000000"/>
    <w:charset w:val="81"/>
    <w:family w:val="auto"/>
    <w:pitch w:val="default"/>
    <w:sig w:usb0="00000000" w:usb1="00000000" w:usb2="00000010" w:usb3="00000000" w:csb0="00080001" w:csb1="00000000"/>
    <w:embedRegular r:id="rId7" w:fontKey="{F35986F1-E7DE-4075-95B5-CA3420558CA6}"/>
  </w:font>
  <w:font w:name="MS-UIGothic,Bold">
    <w:altName w:val="Malgun Gothic"/>
    <w:panose1 w:val="00000000000000000000"/>
    <w:charset w:val="81"/>
    <w:family w:val="auto"/>
    <w:pitch w:val="default"/>
    <w:sig w:usb0="00000000" w:usb1="00000000" w:usb2="00000010" w:usb3="00000000" w:csb0="00080000" w:csb1="00000000"/>
    <w:embedRegular r:id="rId8" w:fontKey="{24792AFE-9008-4982-9702-ACC8DA3C39F7}"/>
  </w:font>
  <w:font w:name="DengXian-Regular">
    <w:altName w:val="宋体"/>
    <w:panose1 w:val="00000000000000000000"/>
    <w:charset w:val="86"/>
    <w:family w:val="auto"/>
    <w:pitch w:val="default"/>
    <w:sig w:usb0="00000000" w:usb1="00000000" w:usb2="00000010" w:usb3="00000000" w:csb0="00040001" w:csb1="00000000"/>
    <w:embedRegular r:id="rId9" w:fontKey="{27935C3E-FDF0-4AF5-A68E-B5AD81CBE7D5}"/>
  </w:font>
  <w:font w:name="DengXian-Bold">
    <w:altName w:val="宋体"/>
    <w:panose1 w:val="00000000000000000000"/>
    <w:charset w:val="86"/>
    <w:family w:val="auto"/>
    <w:pitch w:val="default"/>
    <w:sig w:usb0="00000000" w:usb1="00000000" w:usb2="00000010" w:usb3="00000000" w:csb0="00040001" w:csb1="00000000"/>
    <w:embedRegular r:id="rId10" w:fontKey="{6601EF1A-83E0-4AF9-AFAB-B07DDA0ECC9F}"/>
  </w:font>
  <w:font w:name="TimesNewRomanPSMT">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auto"/>
    <w:pitch w:val="default"/>
    <w:sig w:usb0="900002AF" w:usb1="01D77CFB" w:usb2="00000012" w:usb3="00000000" w:csb0="00080001" w:csb1="00000000"/>
  </w:font>
  <w:font w:name="仿宋_GB2312">
    <w:panose1 w:val="02010609030101010101"/>
    <w:charset w:val="00"/>
    <w:family w:val="auto"/>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embedRegular r:id="rId11" w:fontKey="{E7FE03E7-DD27-4E85-9981-9BEB22EBF87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F222FFA"/>
    <w:multiLevelType w:val="singleLevel"/>
    <w:tmpl w:val="5F222FF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37E6"/>
    <w:rsid w:val="005D77F7"/>
    <w:rsid w:val="005E369C"/>
    <w:rsid w:val="005E3FB0"/>
    <w:rsid w:val="005F4B66"/>
    <w:rsid w:val="005F5208"/>
    <w:rsid w:val="00615C31"/>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1FA16D4"/>
    <w:rsid w:val="04073F84"/>
    <w:rsid w:val="074772E5"/>
    <w:rsid w:val="09000990"/>
    <w:rsid w:val="09E06830"/>
    <w:rsid w:val="09F17268"/>
    <w:rsid w:val="0AE80472"/>
    <w:rsid w:val="0B60750A"/>
    <w:rsid w:val="0C375EBE"/>
    <w:rsid w:val="10686488"/>
    <w:rsid w:val="10DF728A"/>
    <w:rsid w:val="10FC10A2"/>
    <w:rsid w:val="1264200E"/>
    <w:rsid w:val="138021E4"/>
    <w:rsid w:val="13D21E9F"/>
    <w:rsid w:val="141C5B77"/>
    <w:rsid w:val="1748608D"/>
    <w:rsid w:val="18D8339D"/>
    <w:rsid w:val="1A21388F"/>
    <w:rsid w:val="1A570D2F"/>
    <w:rsid w:val="1B953DBB"/>
    <w:rsid w:val="1BF14FF8"/>
    <w:rsid w:val="1F2A455A"/>
    <w:rsid w:val="22B01942"/>
    <w:rsid w:val="28FB0B8D"/>
    <w:rsid w:val="2D2B7942"/>
    <w:rsid w:val="2D46481D"/>
    <w:rsid w:val="2E733B28"/>
    <w:rsid w:val="31852B5A"/>
    <w:rsid w:val="32D01238"/>
    <w:rsid w:val="3DFC59A8"/>
    <w:rsid w:val="3ECF245E"/>
    <w:rsid w:val="3FB96314"/>
    <w:rsid w:val="424818C7"/>
    <w:rsid w:val="48174988"/>
    <w:rsid w:val="4FAE68B8"/>
    <w:rsid w:val="53A44FAF"/>
    <w:rsid w:val="563D4637"/>
    <w:rsid w:val="58807CD5"/>
    <w:rsid w:val="594329EC"/>
    <w:rsid w:val="5BEE1540"/>
    <w:rsid w:val="5DE61A5D"/>
    <w:rsid w:val="601D7AEF"/>
    <w:rsid w:val="63C04243"/>
    <w:rsid w:val="63C95B02"/>
    <w:rsid w:val="649C01C7"/>
    <w:rsid w:val="65BB0449"/>
    <w:rsid w:val="67A44BF0"/>
    <w:rsid w:val="69237FC1"/>
    <w:rsid w:val="699A3F60"/>
    <w:rsid w:val="72902E62"/>
    <w:rsid w:val="73C61104"/>
    <w:rsid w:val="753A1BF5"/>
    <w:rsid w:val="776452EA"/>
    <w:rsid w:val="79B40A60"/>
    <w:rsid w:val="79EC725D"/>
    <w:rsid w:val="7C4A142D"/>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4"/>
    <w:semiHidden/>
    <w:unhideWhenUsed/>
    <w:qFormat/>
    <w:uiPriority w:val="99"/>
    <w:rPr>
      <w:rFonts w:ascii="宋体"/>
      <w:sz w:val="18"/>
      <w:szCs w:val="18"/>
    </w:r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0"/>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8"/>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7"/>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文档结构图 Char"/>
    <w:basedOn w:val="15"/>
    <w:link w:val="6"/>
    <w:semiHidden/>
    <w:qFormat/>
    <w:uiPriority w:val="99"/>
    <w:rPr>
      <w:rFonts w:ascii="宋体"/>
      <w:kern w:val="2"/>
      <w:sz w:val="18"/>
      <w:szCs w:val="18"/>
    </w:rPr>
  </w:style>
  <w:style w:type="character" w:customStyle="1" w:styleId="35">
    <w:name w:val="font21"/>
    <w:basedOn w:val="15"/>
    <w:uiPriority w:val="0"/>
    <w:rPr>
      <w:rFonts w:hint="eastAsia" w:ascii="宋体" w:hAnsi="宋体" w:eastAsia="宋体" w:cs="宋体"/>
      <w:color w:val="000000"/>
      <w:sz w:val="16"/>
      <w:szCs w:val="16"/>
      <w:u w:val="none"/>
    </w:rPr>
  </w:style>
  <w:style w:type="character" w:customStyle="1" w:styleId="36">
    <w:name w:val="font31"/>
    <w:basedOn w:val="15"/>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72AE38-3B40-4C01-9CCD-2CA0EFF860E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1145</Words>
  <Characters>6533</Characters>
  <Lines>54</Lines>
  <Paragraphs>15</Paragraphs>
  <TotalTime>1021</TotalTime>
  <ScaleCrop>false</ScaleCrop>
  <LinksUpToDate>false</LinksUpToDate>
  <CharactersWithSpaces>7663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2020-10-20T01:05:48Z</dcterms:modified>
  <dc:subject>石家庄市xxx部门</dc:subject>
  <dc:title>2017年度部门决算</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